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Pr="003A2B5F" w:rsidRDefault="00896846" w:rsidP="00896846">
      <w:pPr>
        <w:jc w:val="center"/>
        <w:rPr>
          <w:b/>
          <w:sz w:val="32"/>
          <w:szCs w:val="32"/>
        </w:rPr>
      </w:pPr>
      <w:r w:rsidRPr="003A2B5F">
        <w:rPr>
          <w:b/>
          <w:sz w:val="32"/>
          <w:szCs w:val="32"/>
        </w:rPr>
        <w:t xml:space="preserve">ПОЯСНИТЕЛЬНАЯ ЗАПИСКА </w:t>
      </w: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A43D17" w:rsidP="00896846">
      <w:pPr>
        <w:jc w:val="center"/>
        <w:rPr>
          <w:sz w:val="28"/>
          <w:szCs w:val="28"/>
        </w:rPr>
      </w:pPr>
      <w:r>
        <w:rPr>
          <w:sz w:val="28"/>
          <w:szCs w:val="28"/>
        </w:rPr>
        <w:t>к Докладу Главы муниципального образования «Красногорский район» о достигнутых значениях показателей для оценки</w:t>
      </w:r>
      <w:r w:rsidR="00896846">
        <w:rPr>
          <w:sz w:val="28"/>
          <w:szCs w:val="28"/>
        </w:rPr>
        <w:t xml:space="preserve"> </w:t>
      </w:r>
      <w:proofErr w:type="gramStart"/>
      <w:r w:rsidR="00896846">
        <w:rPr>
          <w:sz w:val="28"/>
          <w:szCs w:val="28"/>
        </w:rPr>
        <w:t xml:space="preserve">эффективности деятельности органов местного </w:t>
      </w:r>
      <w:r>
        <w:rPr>
          <w:sz w:val="28"/>
          <w:szCs w:val="28"/>
        </w:rPr>
        <w:t>самоуправления городских округов</w:t>
      </w:r>
      <w:proofErr w:type="gramEnd"/>
      <w:r>
        <w:rPr>
          <w:sz w:val="28"/>
          <w:szCs w:val="28"/>
        </w:rPr>
        <w:t xml:space="preserve"> и муниципальных районов</w:t>
      </w:r>
    </w:p>
    <w:p w:rsidR="00896846" w:rsidRDefault="00577819" w:rsidP="0089684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896846">
        <w:rPr>
          <w:sz w:val="28"/>
          <w:szCs w:val="28"/>
        </w:rPr>
        <w:t xml:space="preserve"> год и </w:t>
      </w:r>
      <w:r w:rsidR="00A43D17">
        <w:rPr>
          <w:sz w:val="28"/>
          <w:szCs w:val="28"/>
        </w:rPr>
        <w:t xml:space="preserve">их планируемых </w:t>
      </w:r>
      <w:proofErr w:type="gramStart"/>
      <w:r w:rsidR="00A43D17">
        <w:rPr>
          <w:sz w:val="28"/>
          <w:szCs w:val="28"/>
        </w:rPr>
        <w:t>значениях</w:t>
      </w:r>
      <w:proofErr w:type="gramEnd"/>
      <w:r w:rsidR="00A43D17">
        <w:rPr>
          <w:sz w:val="28"/>
          <w:szCs w:val="28"/>
        </w:rPr>
        <w:t xml:space="preserve"> на 3-</w:t>
      </w:r>
      <w:r w:rsidR="00896846">
        <w:rPr>
          <w:sz w:val="28"/>
          <w:szCs w:val="28"/>
        </w:rPr>
        <w:t>летний период</w:t>
      </w:r>
    </w:p>
    <w:p w:rsidR="00896846" w:rsidRDefault="00896846" w:rsidP="00896846">
      <w:pPr>
        <w:jc w:val="both"/>
        <w:rPr>
          <w:sz w:val="28"/>
          <w:szCs w:val="28"/>
        </w:rPr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001F94" w:rsidP="0089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6846">
        <w:rPr>
          <w:sz w:val="28"/>
          <w:szCs w:val="28"/>
        </w:rPr>
        <w:t xml:space="preserve"> </w:t>
      </w:r>
      <w:proofErr w:type="gramStart"/>
      <w:r w:rsidR="00896846">
        <w:rPr>
          <w:sz w:val="28"/>
          <w:szCs w:val="28"/>
        </w:rPr>
        <w:t>муниципального</w:t>
      </w:r>
      <w:proofErr w:type="gramEnd"/>
    </w:p>
    <w:p w:rsidR="00896846" w:rsidRDefault="00896846" w:rsidP="0089684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район»:</w:t>
      </w:r>
    </w:p>
    <w:p w:rsidR="00896846" w:rsidRDefault="00896846" w:rsidP="00896846">
      <w:pPr>
        <w:jc w:val="both"/>
        <w:rPr>
          <w:sz w:val="28"/>
          <w:szCs w:val="28"/>
        </w:rPr>
      </w:pPr>
    </w:p>
    <w:p w:rsidR="00896846" w:rsidRDefault="00896846" w:rsidP="00896846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3A0B16">
        <w:t xml:space="preserve">__________________ </w:t>
      </w:r>
      <w:proofErr w:type="spellStart"/>
      <w:r w:rsidR="00001F94">
        <w:rPr>
          <w:sz w:val="28"/>
          <w:szCs w:val="28"/>
        </w:rPr>
        <w:t>Корепанов</w:t>
      </w:r>
      <w:proofErr w:type="spellEnd"/>
      <w:r w:rsidR="00001F94">
        <w:rPr>
          <w:sz w:val="28"/>
          <w:szCs w:val="28"/>
        </w:rPr>
        <w:t xml:space="preserve"> Владимир Серафимович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846" w:rsidRDefault="00A43D17" w:rsidP="008968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  <w:r w:rsidR="00577819">
        <w:t xml:space="preserve"> апреля 2020</w:t>
      </w:r>
      <w:r w:rsidR="00896846">
        <w:t xml:space="preserve"> года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CC1F4F" w:rsidRPr="004412C4" w:rsidRDefault="004412C4" w:rsidP="004412C4">
      <w:pPr>
        <w:ind w:firstLine="708"/>
        <w:jc w:val="both"/>
      </w:pPr>
      <w:r w:rsidRPr="004412C4">
        <w:t>Показатели для оценки эффективности деятельности органов местного самоуправления муниципального образован</w:t>
      </w:r>
      <w:r w:rsidR="00577819">
        <w:t>ия «Красногорский район» за 2019</w:t>
      </w:r>
      <w:r w:rsidRPr="004412C4">
        <w:t xml:space="preserve"> год и их планируемые значения на трехлетний период рассчитываются во исполнение </w:t>
      </w:r>
      <w:r w:rsidR="00CC1F4F" w:rsidRPr="004412C4">
        <w:rPr>
          <w:rFonts w:eastAsiaTheme="minorHAnsi"/>
          <w:b/>
          <w:bCs/>
          <w:lang w:eastAsia="en-US"/>
        </w:rPr>
        <w:t>Указ</w:t>
      </w:r>
      <w:r w:rsidRPr="004412C4">
        <w:rPr>
          <w:rFonts w:eastAsiaTheme="minorHAnsi"/>
          <w:b/>
          <w:bCs/>
          <w:lang w:eastAsia="en-US"/>
        </w:rPr>
        <w:t>а</w:t>
      </w:r>
      <w:r w:rsidR="00CC1F4F" w:rsidRPr="004412C4">
        <w:rPr>
          <w:rFonts w:eastAsiaTheme="minorHAnsi"/>
          <w:b/>
          <w:bCs/>
          <w:lang w:eastAsia="en-US"/>
        </w:rPr>
        <w:t xml:space="preserve"> Президента Российской Федерации от</w:t>
      </w:r>
      <w:r w:rsidR="00A43D17">
        <w:rPr>
          <w:rFonts w:eastAsiaTheme="minorHAnsi"/>
          <w:b/>
          <w:bCs/>
          <w:lang w:eastAsia="en-US"/>
        </w:rPr>
        <w:t xml:space="preserve"> </w:t>
      </w:r>
      <w:r w:rsidR="00CC1F4F" w:rsidRPr="004412C4">
        <w:rPr>
          <w:rFonts w:eastAsiaTheme="minorHAnsi"/>
          <w:b/>
          <w:bCs/>
          <w:lang w:eastAsia="en-US"/>
        </w:rPr>
        <w:t xml:space="preserve">28.04.2008 года № 607 </w:t>
      </w:r>
      <w:r w:rsidR="00CC1F4F" w:rsidRPr="004412C4">
        <w:rPr>
          <w:rFonts w:eastAsiaTheme="minorHAnsi"/>
          <w:lang w:eastAsia="en-US"/>
        </w:rPr>
        <w:t xml:space="preserve">«Об оценке </w:t>
      </w:r>
      <w:proofErr w:type="gramStart"/>
      <w:r w:rsidR="00CC1F4F" w:rsidRPr="004412C4">
        <w:rPr>
          <w:rFonts w:eastAsiaTheme="minorHAnsi"/>
          <w:lang w:eastAsia="en-US"/>
        </w:rPr>
        <w:t>эффективности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деятельности органов местного самоуправления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городских округов</w:t>
      </w:r>
      <w:proofErr w:type="gramEnd"/>
      <w:r w:rsidR="00CC1F4F" w:rsidRPr="004412C4">
        <w:rPr>
          <w:rFonts w:eastAsiaTheme="minorHAnsi"/>
          <w:lang w:eastAsia="en-US"/>
        </w:rPr>
        <w:t xml:space="preserve"> и муниципальных районов»;</w:t>
      </w:r>
      <w:r w:rsidRPr="004412C4">
        <w:t xml:space="preserve"> </w:t>
      </w:r>
      <w:proofErr w:type="gramStart"/>
      <w:r w:rsidRPr="004412C4">
        <w:rPr>
          <w:rFonts w:eastAsiaTheme="minorHAnsi"/>
          <w:bCs/>
          <w:lang w:eastAsia="en-US"/>
        </w:rPr>
        <w:t>постановления</w:t>
      </w:r>
      <w:r w:rsidR="00CC1F4F" w:rsidRPr="004412C4">
        <w:rPr>
          <w:rFonts w:eastAsiaTheme="minorHAnsi"/>
          <w:bCs/>
          <w:lang w:eastAsia="en-US"/>
        </w:rPr>
        <w:t xml:space="preserve"> Правительства Российской</w:t>
      </w:r>
      <w:r w:rsidRPr="004412C4">
        <w:t xml:space="preserve"> </w:t>
      </w:r>
      <w:r w:rsidR="00CC1F4F" w:rsidRPr="004412C4">
        <w:rPr>
          <w:rFonts w:eastAsiaTheme="minorHAnsi"/>
          <w:bCs/>
          <w:lang w:eastAsia="en-US"/>
        </w:rPr>
        <w:t xml:space="preserve">Федерации от 17.12.2012 года № 1317 </w:t>
      </w:r>
      <w:r w:rsidR="00CC1F4F" w:rsidRPr="004412C4">
        <w:rPr>
          <w:rFonts w:eastAsiaTheme="minorHAnsi"/>
          <w:lang w:eastAsia="en-US"/>
        </w:rPr>
        <w:t>«О мерах по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реализации Указа Президента Российской Федерации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от 28 апреля 2008 г. № 607 «Об оценке эффективности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деятельности органов местного самоуправления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городских округов и муниципальных районов» 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подпункта «и» пункта 2 Указа Президента Российской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Федерации от 7 мая 2012 г. № 601 «Об основных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направлениях совершенствования системы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государственного управления»</w:t>
      </w:r>
      <w:r w:rsidRPr="004412C4">
        <w:rPr>
          <w:rFonts w:eastAsiaTheme="minorHAnsi"/>
          <w:lang w:eastAsia="en-US"/>
        </w:rPr>
        <w:t>.</w:t>
      </w:r>
      <w:proofErr w:type="gramEnd"/>
    </w:p>
    <w:p w:rsidR="00CC1F4F" w:rsidRDefault="00CC1F4F" w:rsidP="004412C4">
      <w:pPr>
        <w:rPr>
          <w:b/>
        </w:rPr>
      </w:pPr>
    </w:p>
    <w:p w:rsidR="00896846" w:rsidRPr="003A0B16" w:rsidRDefault="00896846" w:rsidP="00896846">
      <w:pPr>
        <w:ind w:left="360"/>
        <w:jc w:val="center"/>
        <w:rPr>
          <w:b/>
        </w:rPr>
      </w:pPr>
      <w:r w:rsidRPr="003A0B16">
        <w:rPr>
          <w:b/>
        </w:rPr>
        <w:t xml:space="preserve">ОБЩАЯ ХАРАКТЕРИСТИКА </w:t>
      </w:r>
    </w:p>
    <w:p w:rsidR="00896846" w:rsidRPr="003A0B16" w:rsidRDefault="00896846" w:rsidP="00896846">
      <w:pPr>
        <w:ind w:left="360"/>
        <w:jc w:val="center"/>
        <w:rPr>
          <w:b/>
        </w:rPr>
      </w:pPr>
      <w:r w:rsidRPr="003A0B16">
        <w:rPr>
          <w:b/>
        </w:rPr>
        <w:t>МУНИЦИПАЛЬНОГО ОБРАЗОВАНИЯ  «КРАСНОГОРСКИЙ РАЙОН»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  <w:r>
        <w:tab/>
        <w:t xml:space="preserve">Красногорский район </w:t>
      </w:r>
      <w:proofErr w:type="gramStart"/>
      <w:r>
        <w:t>расположен</w:t>
      </w:r>
      <w:proofErr w:type="gramEnd"/>
      <w:r>
        <w:t xml:space="preserve"> в северо-западной части Удмуртской Республики, граничит с Юкаменским, </w:t>
      </w:r>
      <w:proofErr w:type="spellStart"/>
      <w:r>
        <w:t>Глазовским</w:t>
      </w:r>
      <w:proofErr w:type="spellEnd"/>
      <w:r>
        <w:t xml:space="preserve">, </w:t>
      </w:r>
      <w:proofErr w:type="spellStart"/>
      <w:r>
        <w:t>Балезинским</w:t>
      </w:r>
      <w:proofErr w:type="spellEnd"/>
      <w:r>
        <w:t xml:space="preserve">, </w:t>
      </w:r>
      <w:proofErr w:type="spellStart"/>
      <w:r>
        <w:t>Игринским</w:t>
      </w:r>
      <w:proofErr w:type="spellEnd"/>
      <w:r>
        <w:t xml:space="preserve">, </w:t>
      </w:r>
      <w:proofErr w:type="spellStart"/>
      <w:r>
        <w:t>Селтинским</w:t>
      </w:r>
      <w:proofErr w:type="spellEnd"/>
      <w:r>
        <w:t xml:space="preserve"> районами Удмуртской Республики и </w:t>
      </w:r>
      <w:proofErr w:type="spellStart"/>
      <w:r>
        <w:t>Унинским</w:t>
      </w:r>
      <w:proofErr w:type="spellEnd"/>
      <w:r>
        <w:t xml:space="preserve"> районом Кировской области. Районный центр-село Красногорское находится в </w:t>
      </w:r>
      <w:smartTag w:uri="urn:schemas-microsoft-com:office:smarttags" w:element="metricconverter">
        <w:smartTagPr>
          <w:attr w:name="ProductID" w:val="128 км"/>
        </w:smartTagPr>
        <w:r>
          <w:t>128 км</w:t>
        </w:r>
      </w:smartTag>
      <w:r>
        <w:t xml:space="preserve"> от столицы Удмуртской Республик</w:t>
      </w:r>
      <w:proofErr w:type="gramStart"/>
      <w:r>
        <w:t>и-</w:t>
      </w:r>
      <w:proofErr w:type="gramEnd"/>
      <w:r>
        <w:t xml:space="preserve"> города Ижевска. Количество муниципальных образований – 10 (</w:t>
      </w:r>
      <w:proofErr w:type="spellStart"/>
      <w:r>
        <w:t>Агрикольское</w:t>
      </w:r>
      <w:proofErr w:type="spellEnd"/>
      <w:r>
        <w:t xml:space="preserve">, Архангельское, Валамаз, Васильевское, </w:t>
      </w:r>
      <w:proofErr w:type="spellStart"/>
      <w:r>
        <w:t>Дебинское</w:t>
      </w:r>
      <w:proofErr w:type="spellEnd"/>
      <w:r>
        <w:t xml:space="preserve">, </w:t>
      </w:r>
      <w:proofErr w:type="spellStart"/>
      <w:r>
        <w:t>Кокман</w:t>
      </w:r>
      <w:proofErr w:type="spellEnd"/>
      <w:r>
        <w:t xml:space="preserve">, Красногорское, </w:t>
      </w:r>
      <w:proofErr w:type="spellStart"/>
      <w:r>
        <w:t>Курьинское</w:t>
      </w:r>
      <w:proofErr w:type="spellEnd"/>
      <w:r>
        <w:t xml:space="preserve">, Прохоровское, </w:t>
      </w:r>
      <w:proofErr w:type="spellStart"/>
      <w:r>
        <w:t>Селеговское</w:t>
      </w:r>
      <w:proofErr w:type="spellEnd"/>
      <w:r>
        <w:t>).</w:t>
      </w:r>
    </w:p>
    <w:p w:rsidR="00896846" w:rsidRDefault="00896846" w:rsidP="00896846">
      <w:pPr>
        <w:jc w:val="both"/>
      </w:pPr>
      <w:r>
        <w:tab/>
        <w:t>Площадь Красногорского района составляет 1860,05 кв. км, в её составе  сельскохоз</w:t>
      </w:r>
      <w:r w:rsidR="00543DE7">
        <w:t>яйственные угодья занимают 48759</w:t>
      </w:r>
      <w:r>
        <w:t xml:space="preserve"> га, древесно-к</w:t>
      </w:r>
      <w:r w:rsidR="00543DE7">
        <w:t>устарниковая растительность 7593</w:t>
      </w:r>
      <w:r>
        <w:t xml:space="preserve"> га, остальные площади под дор</w:t>
      </w:r>
      <w:r w:rsidR="00543DE7">
        <w:t>огами, водными объектами. 123969</w:t>
      </w:r>
      <w:r>
        <w:t xml:space="preserve"> га занимают земли</w:t>
      </w:r>
      <w:r w:rsidR="00543DE7">
        <w:t xml:space="preserve"> под лесным фондом (66,6%)</w:t>
      </w:r>
      <w:r>
        <w:t xml:space="preserve">. </w:t>
      </w:r>
    </w:p>
    <w:p w:rsidR="00896846" w:rsidRDefault="00896846" w:rsidP="00896846">
      <w:pPr>
        <w:jc w:val="both"/>
      </w:pPr>
      <w:r>
        <w:tab/>
        <w:t>Почвы в районе дерново-подзолистые, с высокой кислотностью, активно проявляется водная эрозия.</w:t>
      </w:r>
    </w:p>
    <w:p w:rsidR="00896846" w:rsidRDefault="00896846" w:rsidP="00896846">
      <w:pPr>
        <w:jc w:val="both"/>
      </w:pPr>
      <w:r>
        <w:tab/>
        <w:t>На территории района имеются небольшие месторождения нефти, месторождения торфа, запасы стекольного песка, строительных песка и песчано-гравийной смеси, кирпичных суглинков. Имеются уникальные природные комплексы, где произрастают редкие виды растений и обитают редкие представители животного мира.</w:t>
      </w:r>
    </w:p>
    <w:p w:rsidR="00896846" w:rsidRDefault="00896846" w:rsidP="00896846">
      <w:pPr>
        <w:jc w:val="both"/>
      </w:pPr>
      <w:r>
        <w:tab/>
        <w:t>Н</w:t>
      </w:r>
      <w:r w:rsidR="00577819">
        <w:t>аселение района на 1 января 2020</w:t>
      </w:r>
      <w:r>
        <w:t xml:space="preserve"> года по данным Росстата со</w:t>
      </w:r>
      <w:r w:rsidR="00577819">
        <w:t>ставляло 8576</w:t>
      </w:r>
      <w:r>
        <w:t xml:space="preserve"> человек</w:t>
      </w:r>
      <w:r w:rsidR="004C7D2F">
        <w:t xml:space="preserve"> со снижени</w:t>
      </w:r>
      <w:r w:rsidR="00577819">
        <w:t>ем к предшествующему году на 135 человек</w:t>
      </w:r>
      <w:r>
        <w:t>. В том числе в</w:t>
      </w:r>
      <w:r w:rsidR="00577819">
        <w:t xml:space="preserve"> с. Красногорское проживает 4048</w:t>
      </w:r>
      <w:r w:rsidR="00001F94">
        <w:t xml:space="preserve"> человек</w:t>
      </w:r>
      <w:r w:rsidR="00577819">
        <w:t xml:space="preserve"> или 47</w:t>
      </w:r>
      <w:r w:rsidR="009E6AAB">
        <w:t>,2</w:t>
      </w:r>
      <w:r w:rsidR="003F7187">
        <w:t xml:space="preserve"> процента</w:t>
      </w:r>
      <w:r>
        <w:t xml:space="preserve"> всего населения района.</w:t>
      </w:r>
    </w:p>
    <w:p w:rsidR="00896846" w:rsidRDefault="00896846" w:rsidP="00896846">
      <w:pPr>
        <w:jc w:val="both"/>
      </w:pPr>
      <w:r>
        <w:tab/>
        <w:t>Плотность населения на 1 кв. к</w:t>
      </w:r>
      <w:r w:rsidR="00B90090">
        <w:t>и</w:t>
      </w:r>
      <w:r w:rsidR="009E6AAB">
        <w:t>лометр территории составляет 4,6</w:t>
      </w:r>
      <w:r w:rsidR="00577819">
        <w:t>1</w:t>
      </w:r>
      <w:r>
        <w:t xml:space="preserve"> человек и является самой низкой среди районов Удмуртской Республики. Особенностью расселения  по району является наличие</w:t>
      </w:r>
      <w:r w:rsidR="00B90090">
        <w:t xml:space="preserve"> большого числа малых</w:t>
      </w:r>
      <w:r>
        <w:t xml:space="preserve"> по численности населения деревень</w:t>
      </w:r>
      <w:r w:rsidR="00B90090">
        <w:t xml:space="preserve"> (средняя </w:t>
      </w:r>
      <w:r w:rsidR="009E6AAB">
        <w:t>численность населения деревни 47</w:t>
      </w:r>
      <w:r w:rsidR="00B90090">
        <w:t xml:space="preserve"> человек)</w:t>
      </w:r>
      <w:r w:rsidR="00410912">
        <w:t>. Всего в районе 72 населенных</w:t>
      </w:r>
      <w:r w:rsidR="00001F94">
        <w:t xml:space="preserve"> пункт</w:t>
      </w:r>
      <w:r w:rsidR="00410912">
        <w:t>а, в том числе 8 сел и 64</w:t>
      </w:r>
      <w:r w:rsidR="009E6AAB">
        <w:t xml:space="preserve"> деревни</w:t>
      </w:r>
      <w:r w:rsidR="00372793">
        <w:t>, в 10</w:t>
      </w:r>
      <w:r w:rsidR="00001F94">
        <w:t xml:space="preserve"> деревнях отсутствуют жители</w:t>
      </w:r>
      <w:r>
        <w:t>.</w:t>
      </w:r>
    </w:p>
    <w:p w:rsidR="00896846" w:rsidRDefault="00896846" w:rsidP="00896846">
      <w:pPr>
        <w:jc w:val="both"/>
      </w:pPr>
      <w:r>
        <w:tab/>
        <w:t>Район преимущественно</w:t>
      </w:r>
      <w:r w:rsidR="00543DE7">
        <w:t xml:space="preserve"> сельскохозяйственный.</w:t>
      </w:r>
      <w:r w:rsidR="00372793">
        <w:t xml:space="preserve"> Имеется 10</w:t>
      </w:r>
      <w:r>
        <w:t xml:space="preserve"> сельскохозяйственных </w:t>
      </w:r>
      <w:r w:rsidR="00372793">
        <w:t>предприятий, 6</w:t>
      </w:r>
      <w:r>
        <w:t xml:space="preserve"> крестьянских (фермерских) хозяйств, производящих товарные виды продукции. Направление специализации сельскохо</w:t>
      </w:r>
      <w:r w:rsidR="00543DE7">
        <w:t>зяйственных предприятий: мясо-молоч</w:t>
      </w:r>
      <w:r>
        <w:t>ное скотово</w:t>
      </w:r>
      <w:r w:rsidR="00443D78">
        <w:t>дство</w:t>
      </w:r>
      <w:r>
        <w:t>.</w:t>
      </w:r>
    </w:p>
    <w:p w:rsidR="00896846" w:rsidRDefault="00896846" w:rsidP="00896846">
      <w:pPr>
        <w:jc w:val="both"/>
      </w:pPr>
      <w:r>
        <w:tab/>
      </w:r>
      <w:r w:rsidR="00B40BA9">
        <w:t>Ведется</w:t>
      </w:r>
      <w:r>
        <w:t xml:space="preserve"> добыча нефти  с терр</w:t>
      </w:r>
      <w:r w:rsidR="00372793">
        <w:t>итории района силами</w:t>
      </w:r>
      <w:r>
        <w:t xml:space="preserve"> ОАО «</w:t>
      </w:r>
      <w:proofErr w:type="spellStart"/>
      <w:r>
        <w:t>Удмуртнефть</w:t>
      </w:r>
      <w:proofErr w:type="spellEnd"/>
      <w:r>
        <w:t>»</w:t>
      </w:r>
      <w:r w:rsidR="00B40BA9">
        <w:t xml:space="preserve"> и ООО «УДС нефть»</w:t>
      </w:r>
      <w:r>
        <w:t>. В структуре промышленного производства доля нефтяной отрасли составляет около 90 процентов всего объема. Из обрабатывающих отраслей промышленность предс</w:t>
      </w:r>
      <w:r w:rsidR="00372793">
        <w:t>тавлена небольшими пилорамами</w:t>
      </w:r>
      <w:r>
        <w:t xml:space="preserve"> по лесозаготовке и лесопере</w:t>
      </w:r>
      <w:r w:rsidR="00543DE7">
        <w:t>работке.</w:t>
      </w:r>
      <w:r>
        <w:t xml:space="preserve"> Работают три хлебопекарни.</w:t>
      </w:r>
      <w:r w:rsidR="005E06A3">
        <w:t xml:space="preserve"> </w:t>
      </w:r>
      <w:r w:rsidR="00372793">
        <w:t xml:space="preserve">Открыто производство по изготовлению </w:t>
      </w:r>
      <w:proofErr w:type="spellStart"/>
      <w:r w:rsidR="00372793">
        <w:t>недревесных</w:t>
      </w:r>
      <w:proofErr w:type="spellEnd"/>
      <w:r w:rsidR="00372793">
        <w:t xml:space="preserve"> лесных изделий (веников).</w:t>
      </w:r>
    </w:p>
    <w:p w:rsidR="00896846" w:rsidRDefault="00896846" w:rsidP="00896846">
      <w:pPr>
        <w:ind w:firstLine="708"/>
        <w:jc w:val="both"/>
      </w:pPr>
      <w:r>
        <w:t>С 2004 г</w:t>
      </w:r>
      <w:r w:rsidR="004C7D2F">
        <w:t>ода в районе проложено около</w:t>
      </w:r>
      <w:r w:rsidR="00B90090">
        <w:t xml:space="preserve"> 20</w:t>
      </w:r>
      <w:r w:rsidR="00543DE7">
        <w:t>0</w:t>
      </w:r>
      <w:r>
        <w:t xml:space="preserve"> километров газовых сетей. </w:t>
      </w:r>
      <w:r w:rsidR="003F7187">
        <w:t>Уровень газификации района составляет</w:t>
      </w:r>
      <w:r w:rsidR="00B40BA9">
        <w:t xml:space="preserve"> 2</w:t>
      </w:r>
      <w:r w:rsidR="00372793">
        <w:t>5</w:t>
      </w:r>
      <w:r w:rsidR="000C0496">
        <w:t xml:space="preserve"> %.</w:t>
      </w:r>
      <w:r w:rsidR="00B40BA9">
        <w:t xml:space="preserve"> В 2019</w:t>
      </w:r>
      <w:r w:rsidR="004C7D2F">
        <w:t xml:space="preserve"> году газификация района не осуществлялась.</w:t>
      </w:r>
    </w:p>
    <w:p w:rsidR="00C83ADE" w:rsidRPr="004412C4" w:rsidRDefault="00896846" w:rsidP="00896846">
      <w:pPr>
        <w:jc w:val="both"/>
      </w:pPr>
      <w:r>
        <w:tab/>
        <w:t xml:space="preserve">Направления социально-экономического развития Красногорского района связаны с дальнейшим развитием на основе современных технологий сельского хозяйства, </w:t>
      </w:r>
      <w:r w:rsidR="00372793">
        <w:t>переработки сельхозпродукции</w:t>
      </w:r>
      <w:r w:rsidR="00543DE7">
        <w:t>.</w:t>
      </w:r>
    </w:p>
    <w:p w:rsidR="00896846" w:rsidRDefault="00896846" w:rsidP="00896846"/>
    <w:p w:rsidR="00896846" w:rsidRPr="00781EF8" w:rsidRDefault="002D6BAF" w:rsidP="00C83ADE">
      <w:pPr>
        <w:pStyle w:val="a7"/>
        <w:ind w:left="1080"/>
        <w:jc w:val="center"/>
        <w:rPr>
          <w:b/>
        </w:rPr>
      </w:pPr>
      <w:r>
        <w:rPr>
          <w:b/>
        </w:rPr>
        <w:lastRenderedPageBreak/>
        <w:t>I</w:t>
      </w:r>
      <w:r w:rsidR="00662608">
        <w:rPr>
          <w:b/>
        </w:rPr>
        <w:t>.</w:t>
      </w:r>
      <w:r>
        <w:rPr>
          <w:b/>
        </w:rPr>
        <w:t xml:space="preserve"> </w:t>
      </w:r>
      <w:r w:rsidR="00896846" w:rsidRPr="00781EF8">
        <w:rPr>
          <w:b/>
        </w:rPr>
        <w:t>ЭКОНОМИЧЕСКОЕ  РАЗВИТИЕ</w:t>
      </w:r>
    </w:p>
    <w:p w:rsidR="00896846" w:rsidRDefault="00896846" w:rsidP="00896846">
      <w:pPr>
        <w:jc w:val="both"/>
      </w:pPr>
    </w:p>
    <w:p w:rsidR="00896846" w:rsidRPr="000A41BC" w:rsidRDefault="00896846" w:rsidP="00662608">
      <w:pPr>
        <w:jc w:val="center"/>
        <w:rPr>
          <w:b/>
        </w:rPr>
      </w:pPr>
      <w:r>
        <w:t xml:space="preserve"> </w:t>
      </w:r>
      <w:r w:rsidRPr="000A41BC">
        <w:rPr>
          <w:b/>
        </w:rPr>
        <w:t>РАЗВИТИЕ МАЛОГО И СРЕДНЕГО ПРЕДПРИНИМАТЕЛЬСТВА</w:t>
      </w:r>
    </w:p>
    <w:p w:rsidR="00896846" w:rsidRDefault="00896846" w:rsidP="00896846">
      <w:pPr>
        <w:ind w:firstLine="708"/>
        <w:jc w:val="both"/>
      </w:pPr>
      <w:r>
        <w:t>В Красн</w:t>
      </w:r>
      <w:r w:rsidR="00B40BA9">
        <w:t>огорском районе на 1 января 2020</w:t>
      </w:r>
      <w:r>
        <w:t xml:space="preserve"> года насчитывае</w:t>
      </w:r>
      <w:r w:rsidR="00B40BA9">
        <w:t>тся 99</w:t>
      </w:r>
      <w:r w:rsidR="00781EF8">
        <w:t xml:space="preserve"> индивидуальных пре</w:t>
      </w:r>
      <w:r w:rsidR="00B40BA9">
        <w:t>дпринимателей</w:t>
      </w:r>
      <w:r>
        <w:t>, з</w:t>
      </w:r>
      <w:r w:rsidR="00B40BA9">
        <w:t>а год их число снизилось на 12 человек в связи с выходом на пенсию и введения обязательности</w:t>
      </w:r>
      <w:r w:rsidR="00344CA3">
        <w:t xml:space="preserve"> применения контрольно-кассовой техники</w:t>
      </w:r>
      <w:r>
        <w:t>. Наемных работников, работающих у инд</w:t>
      </w:r>
      <w:r w:rsidR="00365AE6">
        <w:t>ивидуальных предпринимателей</w:t>
      </w:r>
      <w:r w:rsidR="00A81C1B">
        <w:t>, включа</w:t>
      </w:r>
      <w:r w:rsidR="00313F35">
        <w:t xml:space="preserve">я </w:t>
      </w:r>
      <w:proofErr w:type="gramStart"/>
      <w:r w:rsidR="00313F35">
        <w:t>К(</w:t>
      </w:r>
      <w:proofErr w:type="gramEnd"/>
      <w:r w:rsidR="00313F35">
        <w:t xml:space="preserve">Ф)Х </w:t>
      </w:r>
      <w:r w:rsidR="00965F09" w:rsidRPr="00965F09">
        <w:t>241</w:t>
      </w:r>
      <w:r w:rsidR="00311EB6" w:rsidRPr="00965F09">
        <w:t xml:space="preserve"> человек</w:t>
      </w:r>
      <w:r w:rsidR="00311EB6">
        <w:t xml:space="preserve">, что ниже </w:t>
      </w:r>
      <w:r w:rsidR="00965F09">
        <w:t>уровня 2018</w:t>
      </w:r>
      <w:r>
        <w:t xml:space="preserve"> года на </w:t>
      </w:r>
      <w:r w:rsidR="00965F09">
        <w:t>17</w:t>
      </w:r>
      <w:r w:rsidR="00781EF8">
        <w:t xml:space="preserve"> человек в связи со</w:t>
      </w:r>
      <w:r>
        <w:t xml:space="preserve"> снижением числа работающих по лесопереработке</w:t>
      </w:r>
      <w:r w:rsidR="00A81C1B">
        <w:t>, в торговле</w:t>
      </w:r>
      <w:r w:rsidR="00547643">
        <w:t xml:space="preserve">. </w:t>
      </w:r>
      <w:r w:rsidR="00965F09">
        <w:t>Зарегистрировано 27</w:t>
      </w:r>
      <w:r>
        <w:t xml:space="preserve"> малых</w:t>
      </w:r>
      <w:r w:rsidR="00547643">
        <w:t xml:space="preserve"> </w:t>
      </w:r>
      <w:r w:rsidR="004C7D2F">
        <w:t xml:space="preserve">предприятий с </w:t>
      </w:r>
      <w:r w:rsidR="00965F09">
        <w:t>увеличением к прошлому году на 1 единицу</w:t>
      </w:r>
      <w:r w:rsidR="005F0319">
        <w:t xml:space="preserve"> </w:t>
      </w:r>
      <w:r>
        <w:t xml:space="preserve">с </w:t>
      </w:r>
      <w:r w:rsidR="000A6E5C">
        <w:t>численность</w:t>
      </w:r>
      <w:r w:rsidR="00A81C1B">
        <w:t xml:space="preserve">ю </w:t>
      </w:r>
      <w:r w:rsidR="00965F09">
        <w:t>занятых 380</w:t>
      </w:r>
      <w:r w:rsidR="005F0319">
        <w:t xml:space="preserve">  человек</w:t>
      </w:r>
      <w:r w:rsidR="00C83ADE">
        <w:t xml:space="preserve"> и</w:t>
      </w:r>
      <w:r w:rsidR="00965F09">
        <w:t xml:space="preserve"> 1 среднее</w:t>
      </w:r>
      <w:r>
        <w:t xml:space="preserve"> предприят</w:t>
      </w:r>
      <w:r w:rsidR="00965F09">
        <w:t>ие с численностью работающих 92</w:t>
      </w:r>
      <w:r w:rsidR="005F0319">
        <w:t xml:space="preserve"> человек</w:t>
      </w:r>
      <w:r w:rsidR="00FB5311">
        <w:t>а</w:t>
      </w:r>
      <w:r>
        <w:t>. Всего в сфере малого и среднего</w:t>
      </w:r>
      <w:r w:rsidR="00CB5871">
        <w:t xml:space="preserve"> предпринимательства занято</w:t>
      </w:r>
      <w:r w:rsidR="00965F09">
        <w:t xml:space="preserve"> 812</w:t>
      </w:r>
      <w:r w:rsidR="00A81C1B">
        <w:t xml:space="preserve"> человек</w:t>
      </w:r>
      <w:r w:rsidR="00313F35">
        <w:t>а</w:t>
      </w:r>
      <w:r w:rsidR="00CB5871">
        <w:t xml:space="preserve"> </w:t>
      </w:r>
      <w:r w:rsidR="00A81C1B">
        <w:t>(</w:t>
      </w:r>
      <w:r w:rsidR="00965F09">
        <w:t>857</w:t>
      </w:r>
      <w:r w:rsidR="00CB5871">
        <w:t xml:space="preserve"> человек</w:t>
      </w:r>
      <w:r w:rsidR="00965F09">
        <w:t xml:space="preserve"> в 2018 году) или 32,3</w:t>
      </w:r>
      <w:r>
        <w:t xml:space="preserve"> % от числа</w:t>
      </w:r>
      <w:r w:rsidR="000A6E5C">
        <w:t xml:space="preserve"> з</w:t>
      </w:r>
      <w:r w:rsidR="00965F09">
        <w:t>анятых в экономике района и 19,9</w:t>
      </w:r>
      <w:r w:rsidR="00CB5871">
        <w:t xml:space="preserve"> % от трудоспособного</w:t>
      </w:r>
      <w:r>
        <w:t xml:space="preserve"> населения района. </w:t>
      </w:r>
    </w:p>
    <w:p w:rsidR="00896846" w:rsidRDefault="00896846" w:rsidP="00896846">
      <w:pPr>
        <w:jc w:val="both"/>
      </w:pPr>
      <w:r>
        <w:tab/>
        <w:t>Наибольшее распространение малое предпринимательство нашло в торговле, сельском хозяйстве, промышленном производстве, бытовом обслуживании</w:t>
      </w:r>
      <w:r w:rsidR="000A6E5C">
        <w:t>, сфере ЖКХ</w:t>
      </w:r>
      <w:r>
        <w:t>.</w:t>
      </w:r>
    </w:p>
    <w:p w:rsidR="002C5D23" w:rsidRDefault="00896846" w:rsidP="00AF1BBC">
      <w:pPr>
        <w:ind w:firstLine="708"/>
        <w:jc w:val="both"/>
        <w:rPr>
          <w:sz w:val="28"/>
          <w:szCs w:val="28"/>
        </w:rPr>
      </w:pPr>
      <w:r>
        <w:t>Для развития</w:t>
      </w:r>
      <w:r w:rsidR="00D35154">
        <w:t xml:space="preserve"> экономики района</w:t>
      </w:r>
      <w:r>
        <w:t xml:space="preserve"> разработана и утверждена</w:t>
      </w:r>
      <w:r w:rsidR="00D35154">
        <w:t xml:space="preserve"> муниципальная</w:t>
      </w:r>
      <w:r>
        <w:t xml:space="preserve"> Программа</w:t>
      </w:r>
      <w:r w:rsidR="00CB5871">
        <w:t xml:space="preserve"> Красногорского района</w:t>
      </w:r>
      <w:r w:rsidR="00D35154">
        <w:t xml:space="preserve"> «Создание условий для устойчивого эконо</w:t>
      </w:r>
      <w:r w:rsidR="00965F09">
        <w:t>мического развития» на 2015-2024</w:t>
      </w:r>
      <w:r w:rsidR="00D35154">
        <w:t xml:space="preserve"> годы</w:t>
      </w:r>
      <w:r w:rsidR="00313F35">
        <w:t>,</w:t>
      </w:r>
      <w:r w:rsidR="00D35154">
        <w:t xml:space="preserve"> в составе </w:t>
      </w:r>
      <w:proofErr w:type="gramStart"/>
      <w:r w:rsidR="00D35154">
        <w:t>которой</w:t>
      </w:r>
      <w:proofErr w:type="gramEnd"/>
      <w:r w:rsidR="00D35154">
        <w:t xml:space="preserve"> имеется подпрограмма «Создание условий для развития </w:t>
      </w:r>
      <w:r>
        <w:t xml:space="preserve"> предпринимательства</w:t>
      </w:r>
      <w:r w:rsidR="00D35154">
        <w:t>»</w:t>
      </w:r>
      <w:r>
        <w:t>.</w:t>
      </w:r>
      <w:r>
        <w:rPr>
          <w:sz w:val="28"/>
          <w:szCs w:val="28"/>
        </w:rPr>
        <w:t xml:space="preserve"> </w:t>
      </w:r>
    </w:p>
    <w:p w:rsidR="00AF1BBC" w:rsidRDefault="00896846" w:rsidP="00AF1BBC">
      <w:pPr>
        <w:ind w:firstLine="708"/>
        <w:jc w:val="both"/>
      </w:pPr>
      <w:r>
        <w:t>Объем производства продукции мал</w:t>
      </w:r>
      <w:r w:rsidR="00965F09">
        <w:t>ыми предприятиями района за 2019 год составил 440,8 млн. руб. и вырос к уровню 2018</w:t>
      </w:r>
      <w:r w:rsidR="00B94B69">
        <w:t xml:space="preserve"> года на 21</w:t>
      </w:r>
      <w:r>
        <w:t xml:space="preserve"> %.</w:t>
      </w:r>
      <w:r w:rsidR="00C802A7">
        <w:t xml:space="preserve"> Оборот ср</w:t>
      </w:r>
      <w:r w:rsidR="0027417C">
        <w:t>едних предприятий сос</w:t>
      </w:r>
      <w:r w:rsidR="00B94B69">
        <w:t>тавил 183,9</w:t>
      </w:r>
      <w:r w:rsidR="00C802A7">
        <w:t xml:space="preserve"> млн. руб.</w:t>
      </w:r>
      <w:r w:rsidR="00B94B69">
        <w:t xml:space="preserve"> с падением на 8% к 2018</w:t>
      </w:r>
      <w:r w:rsidR="00CB5871">
        <w:t xml:space="preserve"> году</w:t>
      </w:r>
      <w:r w:rsidR="00B94B69">
        <w:t xml:space="preserve"> в результате появления в течение года 4-х новых сетевых магазина</w:t>
      </w:r>
      <w:r w:rsidR="00061F81">
        <w:t>.</w:t>
      </w:r>
      <w:r w:rsidR="00CB5871">
        <w:t xml:space="preserve"> </w:t>
      </w:r>
      <w:r w:rsidR="00C802A7">
        <w:t xml:space="preserve"> Оборот индивидуальных предприн</w:t>
      </w:r>
      <w:r w:rsidR="00B94B69">
        <w:t>имателей оценивается в сумме 549</w:t>
      </w:r>
      <w:r w:rsidR="00C802A7">
        <w:t xml:space="preserve"> млн. руб.</w:t>
      </w:r>
      <w:r>
        <w:t xml:space="preserve"> </w:t>
      </w:r>
    </w:p>
    <w:p w:rsidR="0027417C" w:rsidRPr="0027417C" w:rsidRDefault="0027417C" w:rsidP="0027417C">
      <w:pPr>
        <w:ind w:firstLine="708"/>
        <w:jc w:val="both"/>
      </w:pPr>
      <w:r w:rsidRPr="0027417C">
        <w:t>Поддержка малого и среднего предпринимательства</w:t>
      </w:r>
      <w:r w:rsidR="00E017B8">
        <w:t xml:space="preserve"> в районе</w:t>
      </w:r>
      <w:r w:rsidRPr="0027417C">
        <w:t xml:space="preserve"> оказывалась в виде:</w:t>
      </w:r>
    </w:p>
    <w:p w:rsidR="0027417C" w:rsidRPr="0027417C" w:rsidRDefault="00D47345" w:rsidP="0027417C">
      <w:pPr>
        <w:jc w:val="both"/>
      </w:pPr>
      <w:r>
        <w:t xml:space="preserve">    </w:t>
      </w:r>
      <w:proofErr w:type="gramStart"/>
      <w:r>
        <w:t>Консультационная</w:t>
      </w:r>
      <w:proofErr w:type="gramEnd"/>
      <w:r w:rsidR="0027417C" w:rsidRPr="0027417C">
        <w:t xml:space="preserve"> помощи субъектам малого предпринимательства в области ведения бизнеса, налого</w:t>
      </w:r>
      <w:r w:rsidR="00470F06">
        <w:t>обложения</w:t>
      </w:r>
      <w:r w:rsidR="0027417C" w:rsidRPr="0027417C">
        <w:t>. На официальном сайте района создан раздел «Малое предпринимательство», где публикуется справочная информация о мерах поддержки бизнеса.</w:t>
      </w:r>
    </w:p>
    <w:p w:rsidR="0027417C" w:rsidRDefault="0027417C" w:rsidP="0027417C">
      <w:pPr>
        <w:ind w:firstLine="708"/>
        <w:jc w:val="both"/>
      </w:pPr>
      <w:r w:rsidRPr="0027417C">
        <w:t xml:space="preserve">Для популяризации предпринимательской деятельности организуются поздравления </w:t>
      </w:r>
      <w:proofErr w:type="gramStart"/>
      <w:r w:rsidRPr="0027417C">
        <w:t>к</w:t>
      </w:r>
      <w:proofErr w:type="gramEnd"/>
      <w:r w:rsidRPr="0027417C">
        <w:t xml:space="preserve"> Дню предпринимателя, к Дню бытового обслуживания населения, к Дню торговли. Для повышения престижа работы в сфере предпринимательства подготовлены докуме</w:t>
      </w:r>
      <w:r w:rsidR="00470F06">
        <w:t>нты на награждение  грамотами 9</w:t>
      </w:r>
      <w:r w:rsidRPr="0027417C">
        <w:t>-и работников и  индивидуальных предпринимателей.</w:t>
      </w:r>
    </w:p>
    <w:p w:rsidR="00470F06" w:rsidRPr="00470F06" w:rsidRDefault="00470F06" w:rsidP="00470F06">
      <w:pPr>
        <w:ind w:firstLine="708"/>
        <w:jc w:val="both"/>
      </w:pPr>
      <w:r w:rsidRPr="00470F06">
        <w:t xml:space="preserve">В 4-х семинарах 4.04.2019 (современная бизнес-модель компании и преимущества кооперации); 18.06.2019 (применение контрольно-кассовой техники с 01.07.2019 года); 15.10.2019 (по работе с Фондом Соцстраха, по порядку работы в модуле «Малые закупки УР»); 28.11.2019 (маркировка продукции </w:t>
      </w:r>
      <w:proofErr w:type="spellStart"/>
      <w:r w:rsidRPr="00470F06">
        <w:t>спецмарками</w:t>
      </w:r>
      <w:proofErr w:type="spellEnd"/>
      <w:r w:rsidRPr="00470F06">
        <w:t xml:space="preserve">) приняло участие 67 СМСП. Проведены 2 Совета по поддержке МП и инвестиционной деятельности с рассмотрением вопросов по темам обучающих семинаров, вопросам празднования Дня предпринимателя, по утверждению доклада о состоянии уровня конкуренции в районе за 2018 год. В сентябре состоялась встреча предпринимателей с Заместителем Председателя Правительства УР </w:t>
      </w:r>
      <w:proofErr w:type="spellStart"/>
      <w:r w:rsidRPr="00470F06">
        <w:t>Свининым</w:t>
      </w:r>
      <w:proofErr w:type="spellEnd"/>
      <w:r w:rsidRPr="00470F06">
        <w:t xml:space="preserve"> А.А.</w:t>
      </w:r>
    </w:p>
    <w:p w:rsidR="00470F06" w:rsidRPr="00470F06" w:rsidRDefault="00470F06" w:rsidP="00470F06">
      <w:pPr>
        <w:ind w:firstLine="900"/>
        <w:jc w:val="both"/>
      </w:pPr>
      <w:r w:rsidRPr="00470F06">
        <w:t>Для популяризации предпринимательства в декабре для учеников 10 классов организована учеба «Бизнес экспресс».</w:t>
      </w:r>
    </w:p>
    <w:p w:rsidR="00470F06" w:rsidRPr="00470F06" w:rsidRDefault="00470F06" w:rsidP="00470F06">
      <w:pPr>
        <w:ind w:firstLine="708"/>
        <w:jc w:val="both"/>
      </w:pPr>
      <w:r w:rsidRPr="00470F06">
        <w:t xml:space="preserve">В рамках имущественной поддержки предприниматели арендуют муниципальные помещения по 3 договорам аренды общей площадью 46,7 кв. м., а также 1 автомобиль. 2 предпринимателя в льготном порядке без проведения аукциона выкупили ранее арендованные помещения общей площадью 266,8 кв. м. </w:t>
      </w:r>
    </w:p>
    <w:p w:rsidR="00470F06" w:rsidRPr="00470F06" w:rsidRDefault="00470F06" w:rsidP="00470F06">
      <w:pPr>
        <w:ind w:firstLine="708"/>
        <w:jc w:val="both"/>
      </w:pPr>
      <w:proofErr w:type="gramStart"/>
      <w:r w:rsidRPr="00470F06">
        <w:t xml:space="preserve">В рамках предоставления субсидий на возмещение первого лизингового платежа по приобретению оборудования для развития бизнеса, оказана помощь в подготовке документов на получение субсидии двум СМП, сумма полученной субсидии по ним составила 96 тыс. руб.  воспользовались займами через УГФПМП по низким ставкам (до 8%) 3 СМП (Аникин С.П., </w:t>
      </w:r>
      <w:proofErr w:type="spellStart"/>
      <w:r w:rsidRPr="00470F06">
        <w:t>Чупин</w:t>
      </w:r>
      <w:proofErr w:type="spellEnd"/>
      <w:r w:rsidRPr="00470F06">
        <w:t xml:space="preserve"> А.Н., Невоструев А.Г.). </w:t>
      </w:r>
      <w:proofErr w:type="gramEnd"/>
    </w:p>
    <w:p w:rsidR="00470F06" w:rsidRPr="00470F06" w:rsidRDefault="00470F06" w:rsidP="00470F06">
      <w:pPr>
        <w:ind w:firstLine="708"/>
        <w:jc w:val="both"/>
      </w:pPr>
      <w:r w:rsidRPr="00470F06">
        <w:t>В 2019 году в сентябре проведен опрос субъектов малого предпринимательства. Шесть из 16 сдавших анкеты предпринимателей (37,5%) отметили улучшение ситуации на рынке, у 5 ситуация не ухудшилась (31,3%) и пятеро (31,3%)  отметили ухудшение своего положения.</w:t>
      </w:r>
    </w:p>
    <w:p w:rsidR="003764F4" w:rsidRDefault="003764F4" w:rsidP="00896846">
      <w:pPr>
        <w:jc w:val="both"/>
      </w:pPr>
    </w:p>
    <w:p w:rsidR="00896846" w:rsidRDefault="00957E19" w:rsidP="00896846">
      <w:pPr>
        <w:jc w:val="both"/>
      </w:pPr>
      <w:r w:rsidRPr="000F2E41">
        <w:lastRenderedPageBreak/>
        <w:t>По</w:t>
      </w:r>
      <w:r>
        <w:t>казатель 1</w:t>
      </w:r>
      <w:r w:rsidR="00896846">
        <w:t>.</w:t>
      </w:r>
      <w:r w:rsidR="00896846">
        <w:rPr>
          <w:b/>
        </w:rPr>
        <w:t xml:space="preserve">  Число субъектов малого и среднего предпринимательства</w:t>
      </w:r>
      <w:r>
        <w:rPr>
          <w:b/>
        </w:rPr>
        <w:t xml:space="preserve"> в расчете на 10 тысяч человек населения</w:t>
      </w:r>
      <w:r w:rsidR="00896846">
        <w:rPr>
          <w:b/>
        </w:rPr>
        <w:t>:</w:t>
      </w:r>
      <w:r w:rsidR="00896846">
        <w:t xml:space="preserve"> </w:t>
      </w:r>
    </w:p>
    <w:p w:rsidR="005D09A8" w:rsidRDefault="005D09A8" w:rsidP="0089684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667E04" w:rsidTr="00BC651A">
        <w:tc>
          <w:tcPr>
            <w:tcW w:w="5535" w:type="dxa"/>
            <w:gridSpan w:val="5"/>
          </w:tcPr>
          <w:p w:rsidR="00667E04" w:rsidRDefault="00667E04" w:rsidP="00CC1F4F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667E04" w:rsidRDefault="00667E04" w:rsidP="00CC1F4F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896846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CC1F4F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CC1F4F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CC1F4F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CC1F4F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CC1F4F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CC1F4F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CC1F4F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896846">
            <w:pPr>
              <w:jc w:val="both"/>
            </w:pPr>
            <w:r>
              <w:t>134,55</w:t>
            </w:r>
          </w:p>
        </w:tc>
        <w:tc>
          <w:tcPr>
            <w:tcW w:w="1107" w:type="dxa"/>
          </w:tcPr>
          <w:p w:rsidR="00667E04" w:rsidRDefault="00667E04" w:rsidP="00CC1F4F">
            <w:pPr>
              <w:jc w:val="center"/>
            </w:pPr>
            <w:r>
              <w:t>164,91</w:t>
            </w:r>
          </w:p>
        </w:tc>
        <w:tc>
          <w:tcPr>
            <w:tcW w:w="1107" w:type="dxa"/>
          </w:tcPr>
          <w:p w:rsidR="00667E04" w:rsidRDefault="00667E04" w:rsidP="00CC1F4F">
            <w:pPr>
              <w:jc w:val="center"/>
            </w:pPr>
            <w:r>
              <w:t>168,66</w:t>
            </w:r>
          </w:p>
        </w:tc>
        <w:tc>
          <w:tcPr>
            <w:tcW w:w="1107" w:type="dxa"/>
          </w:tcPr>
          <w:p w:rsidR="00667E04" w:rsidRDefault="00667E04" w:rsidP="00CC1F4F">
            <w:pPr>
              <w:jc w:val="center"/>
            </w:pPr>
            <w:r>
              <w:t>157,83</w:t>
            </w:r>
          </w:p>
        </w:tc>
        <w:tc>
          <w:tcPr>
            <w:tcW w:w="1107" w:type="dxa"/>
          </w:tcPr>
          <w:p w:rsidR="00667E04" w:rsidRDefault="003D7EAE" w:rsidP="00CC1F4F">
            <w:pPr>
              <w:jc w:val="center"/>
            </w:pPr>
            <w:r>
              <w:t>146,92</w:t>
            </w:r>
          </w:p>
        </w:tc>
        <w:tc>
          <w:tcPr>
            <w:tcW w:w="1107" w:type="dxa"/>
          </w:tcPr>
          <w:p w:rsidR="00667E04" w:rsidRDefault="003D7EAE" w:rsidP="00CC1F4F">
            <w:pPr>
              <w:jc w:val="center"/>
            </w:pPr>
            <w:r>
              <w:t>162,95</w:t>
            </w:r>
          </w:p>
        </w:tc>
        <w:tc>
          <w:tcPr>
            <w:tcW w:w="1108" w:type="dxa"/>
          </w:tcPr>
          <w:p w:rsidR="00667E04" w:rsidRDefault="003D7EAE" w:rsidP="00CC1F4F">
            <w:pPr>
              <w:jc w:val="center"/>
            </w:pPr>
            <w:r>
              <w:t>179,08</w:t>
            </w:r>
          </w:p>
        </w:tc>
        <w:tc>
          <w:tcPr>
            <w:tcW w:w="1108" w:type="dxa"/>
          </w:tcPr>
          <w:p w:rsidR="00667E04" w:rsidRDefault="003D7EAE" w:rsidP="00CC1F4F">
            <w:pPr>
              <w:jc w:val="center"/>
            </w:pPr>
            <w:r>
              <w:t>196,78</w:t>
            </w:r>
          </w:p>
        </w:tc>
      </w:tr>
    </w:tbl>
    <w:p w:rsidR="00CC1F4F" w:rsidRDefault="00CC1F4F" w:rsidP="00896846">
      <w:pPr>
        <w:jc w:val="both"/>
      </w:pPr>
    </w:p>
    <w:p w:rsidR="00BE463F" w:rsidRPr="00BE463F" w:rsidRDefault="00BE463F" w:rsidP="00BE463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63F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BE463F">
        <w:rPr>
          <w:rFonts w:ascii="Times New Roman" w:hAnsi="Times New Roman" w:cs="Times New Roman"/>
          <w:sz w:val="24"/>
          <w:szCs w:val="24"/>
        </w:rPr>
        <w:t xml:space="preserve">  2019 года имелось 99 индивидуальных предпринимателей, 27 малых предприятий и 1 среднее, всего 127</w:t>
      </w:r>
      <w:r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Pr="00BE46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463F">
        <w:rPr>
          <w:rFonts w:ascii="Times New Roman" w:hAnsi="Times New Roman" w:cs="Times New Roman"/>
          <w:sz w:val="24"/>
          <w:szCs w:val="24"/>
        </w:rPr>
        <w:t>Число субъектов МСП в расчете на 10 тысяч населения на конец года составило 146,92 единиц с падением  к 2018 году на 6,9%. В сравнении с 2018 годом  число индивидуальных предпринимателей снизилось на 12 человек (10,8%) в результате выхода на пенсию и введения обязательности применения контрольно-кассовой техники, число малых предприятий возросло на 1 единицу, число средних предприятий снизилось на 1 единицу</w:t>
      </w:r>
      <w:proofErr w:type="gramEnd"/>
      <w:r w:rsidRPr="00BE463F">
        <w:rPr>
          <w:rFonts w:ascii="Times New Roman" w:hAnsi="Times New Roman" w:cs="Times New Roman"/>
          <w:sz w:val="24"/>
          <w:szCs w:val="24"/>
        </w:rPr>
        <w:t xml:space="preserve"> за счет реорганизации в форме присоединения к ООО «УДС-нефть» ЗАО «Чепецкое НГДУ. </w:t>
      </w:r>
    </w:p>
    <w:p w:rsidR="00957E19" w:rsidRPr="00BE463F" w:rsidRDefault="00BE463F" w:rsidP="00BE463F">
      <w:pPr>
        <w:jc w:val="both"/>
      </w:pPr>
      <w:r w:rsidRPr="00BE463F">
        <w:t>В 2020 году прогнозируемый показатель числа СМСП - 139 единиц с приростом на 10% к 2019 году: 109 ИП, 29 малых и 1 среднее предприятие. Число СМСП  в 2021 году</w:t>
      </w:r>
      <w:r>
        <w:t xml:space="preserve"> -151</w:t>
      </w:r>
      <w:r w:rsidR="005D09A8">
        <w:t xml:space="preserve"> единица и 164</w:t>
      </w:r>
      <w:r w:rsidRPr="00BE463F">
        <w:t xml:space="preserve"> единиц</w:t>
      </w:r>
      <w:r w:rsidR="005D09A8">
        <w:t>ы</w:t>
      </w:r>
      <w:r w:rsidRPr="00BE463F">
        <w:t xml:space="preserve"> в 2022 году. За счет ежегодного снижения населения района, число субъектов МСП в расчете на 10 тысяч населения будет расти</w:t>
      </w:r>
      <w:r w:rsidR="005D09A8">
        <w:t xml:space="preserve"> </w:t>
      </w:r>
      <w:r w:rsidRPr="00BE463F">
        <w:t xml:space="preserve">в 2021-2022 годах  на  </w:t>
      </w:r>
      <w:r w:rsidR="005D09A8">
        <w:t>10</w:t>
      </w:r>
      <w:r w:rsidRPr="00BE463F">
        <w:t xml:space="preserve"> %.</w:t>
      </w:r>
    </w:p>
    <w:p w:rsidR="00896846" w:rsidRDefault="00896846" w:rsidP="00896846">
      <w:pPr>
        <w:jc w:val="both"/>
        <w:rPr>
          <w:b/>
        </w:rPr>
      </w:pPr>
    </w:p>
    <w:p w:rsidR="00896846" w:rsidRDefault="00957E19" w:rsidP="00896846">
      <w:pPr>
        <w:jc w:val="both"/>
        <w:rPr>
          <w:b/>
        </w:rPr>
      </w:pPr>
      <w:r w:rsidRPr="00A43D17">
        <w:t>Показатель 2</w:t>
      </w:r>
      <w:r w:rsidR="00896846" w:rsidRPr="00A43D17">
        <w:t>.</w:t>
      </w:r>
      <w:r w:rsidR="00896846">
        <w:rPr>
          <w:b/>
        </w:rPr>
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организаций:</w:t>
      </w:r>
    </w:p>
    <w:p w:rsidR="00032BCA" w:rsidRDefault="00032BCA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755DE7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755DE7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755DE7">
            <w:pPr>
              <w:jc w:val="both"/>
            </w:pPr>
            <w:r>
              <w:t>22,61</w:t>
            </w:r>
          </w:p>
        </w:tc>
        <w:tc>
          <w:tcPr>
            <w:tcW w:w="1107" w:type="dxa"/>
          </w:tcPr>
          <w:p w:rsidR="00667E04" w:rsidRDefault="00667E04" w:rsidP="00755DE7">
            <w:pPr>
              <w:jc w:val="center"/>
            </w:pPr>
            <w:r>
              <w:t>21,12</w:t>
            </w:r>
          </w:p>
        </w:tc>
        <w:tc>
          <w:tcPr>
            <w:tcW w:w="1107" w:type="dxa"/>
          </w:tcPr>
          <w:p w:rsidR="00667E04" w:rsidRDefault="00667E04" w:rsidP="00755DE7">
            <w:pPr>
              <w:jc w:val="center"/>
            </w:pPr>
            <w:r>
              <w:t>20,45</w:t>
            </w:r>
          </w:p>
        </w:tc>
        <w:tc>
          <w:tcPr>
            <w:tcW w:w="1107" w:type="dxa"/>
          </w:tcPr>
          <w:p w:rsidR="00667E04" w:rsidRDefault="00667E04" w:rsidP="00755DE7">
            <w:pPr>
              <w:jc w:val="center"/>
            </w:pPr>
            <w:r>
              <w:t>22,50</w:t>
            </w:r>
          </w:p>
        </w:tc>
        <w:tc>
          <w:tcPr>
            <w:tcW w:w="1107" w:type="dxa"/>
          </w:tcPr>
          <w:p w:rsidR="00667E04" w:rsidRDefault="00A43D17" w:rsidP="00755DE7">
            <w:pPr>
              <w:jc w:val="center"/>
            </w:pPr>
            <w:r>
              <w:t>28,52</w:t>
            </w:r>
          </w:p>
        </w:tc>
        <w:tc>
          <w:tcPr>
            <w:tcW w:w="1107" w:type="dxa"/>
          </w:tcPr>
          <w:p w:rsidR="00667E04" w:rsidRDefault="00A43D17" w:rsidP="00755DE7">
            <w:pPr>
              <w:jc w:val="center"/>
            </w:pPr>
            <w:r>
              <w:t>30,64</w:t>
            </w:r>
          </w:p>
        </w:tc>
        <w:tc>
          <w:tcPr>
            <w:tcW w:w="1108" w:type="dxa"/>
          </w:tcPr>
          <w:p w:rsidR="00667E04" w:rsidRDefault="00A43D17" w:rsidP="00755DE7">
            <w:pPr>
              <w:jc w:val="center"/>
            </w:pPr>
            <w:r>
              <w:t>32,86</w:t>
            </w:r>
          </w:p>
        </w:tc>
        <w:tc>
          <w:tcPr>
            <w:tcW w:w="1108" w:type="dxa"/>
          </w:tcPr>
          <w:p w:rsidR="00667E04" w:rsidRDefault="00A43D17" w:rsidP="00755DE7">
            <w:pPr>
              <w:jc w:val="center"/>
            </w:pPr>
            <w:r>
              <w:t>35,18</w:t>
            </w:r>
          </w:p>
        </w:tc>
      </w:tr>
    </w:tbl>
    <w:p w:rsidR="00C2513C" w:rsidRDefault="00C2513C" w:rsidP="00896846">
      <w:pPr>
        <w:jc w:val="both"/>
        <w:rPr>
          <w:b/>
        </w:rPr>
      </w:pPr>
    </w:p>
    <w:p w:rsidR="005717C7" w:rsidRDefault="005717C7" w:rsidP="00880DB4">
      <w:pPr>
        <w:ind w:firstLine="708"/>
        <w:jc w:val="both"/>
      </w:pPr>
      <w:r>
        <w:t xml:space="preserve">Численность занятых на </w:t>
      </w:r>
      <w:r w:rsidR="00A43D17">
        <w:t>малых предприятиях составила 489 человек с учетом занятых во всех предприятиях, включая филиалы из других регионов.</w:t>
      </w:r>
      <w:r>
        <w:t xml:space="preserve">  Численность работников на </w:t>
      </w:r>
      <w:r w:rsidR="00A43D17">
        <w:t>средних предприятиях выросла на 2 человека до 89 человек.</w:t>
      </w:r>
    </w:p>
    <w:p w:rsidR="00D95B5C" w:rsidRDefault="000540E2" w:rsidP="00880DB4">
      <w:pPr>
        <w:ind w:firstLine="708"/>
        <w:jc w:val="both"/>
      </w:pPr>
      <w:r w:rsidRPr="00880DB4">
        <w:t>Среднесписочная численность работников крупных и средних организаций без субъектов м</w:t>
      </w:r>
      <w:r w:rsidR="00A43D17">
        <w:t>алого предпринимательства в 2019</w:t>
      </w:r>
      <w:r w:rsidRPr="00880DB4">
        <w:t xml:space="preserve"> году снизилась отн</w:t>
      </w:r>
      <w:r w:rsidR="00D6639A">
        <w:t>осительно уровня 2</w:t>
      </w:r>
      <w:r w:rsidR="00A43D17">
        <w:t>018 года на 240</w:t>
      </w:r>
      <w:r w:rsidR="00F44EC4">
        <w:t xml:space="preserve"> человек</w:t>
      </w:r>
      <w:r w:rsidR="00A43D17">
        <w:t xml:space="preserve"> или 13,5% до 1538</w:t>
      </w:r>
      <w:r w:rsidR="005717C7">
        <w:t xml:space="preserve"> человек</w:t>
      </w:r>
      <w:r w:rsidRPr="00880DB4">
        <w:t xml:space="preserve"> ввиду сокращени</w:t>
      </w:r>
      <w:r w:rsidR="00F44EC4">
        <w:t>я численности работающих  в</w:t>
      </w:r>
      <w:r w:rsidR="009744C1">
        <w:t xml:space="preserve"> промышленности</w:t>
      </w:r>
      <w:r w:rsidR="005717C7">
        <w:t>, в</w:t>
      </w:r>
      <w:r w:rsidRPr="00880DB4">
        <w:t xml:space="preserve"> бюджетной сфере</w:t>
      </w:r>
      <w:r w:rsidR="009744C1">
        <w:t>, в торговле</w:t>
      </w:r>
      <w:r w:rsidR="00D95B5C">
        <w:t xml:space="preserve">. </w:t>
      </w:r>
    </w:p>
    <w:p w:rsidR="000540E2" w:rsidRPr="00880DB4" w:rsidRDefault="001A52A3" w:rsidP="00880DB4">
      <w:pPr>
        <w:ind w:firstLine="708"/>
        <w:jc w:val="both"/>
      </w:pPr>
      <w:r>
        <w:t>За счет данных факторов д</w:t>
      </w:r>
      <w:r w:rsidR="000540E2" w:rsidRPr="00880DB4">
        <w:t>оля работающих на малых и средних предприятиях</w:t>
      </w:r>
      <w:r w:rsidR="004D5259">
        <w:t xml:space="preserve"> в 201</w:t>
      </w:r>
      <w:r w:rsidR="009744C1">
        <w:t>9</w:t>
      </w:r>
      <w:r w:rsidR="004D5259">
        <w:t xml:space="preserve"> году</w:t>
      </w:r>
      <w:r w:rsidR="000540E2" w:rsidRPr="00880DB4">
        <w:t xml:space="preserve"> в общей численности работников всех пре</w:t>
      </w:r>
      <w:r w:rsidR="005717C7">
        <w:t>дприятий и организаций района увеличил</w:t>
      </w:r>
      <w:r w:rsidR="009744C1">
        <w:t>ась относительно уровня 2018 года на 6,02</w:t>
      </w:r>
      <w:r w:rsidR="00F44EC4">
        <w:t xml:space="preserve"> </w:t>
      </w:r>
      <w:r w:rsidR="009744C1">
        <w:t xml:space="preserve"> процентных пункта до 28,52 процентов</w:t>
      </w:r>
      <w:r>
        <w:t>.</w:t>
      </w:r>
      <w:r w:rsidR="000540E2" w:rsidRPr="00880DB4">
        <w:t xml:space="preserve"> </w:t>
      </w:r>
      <w:r w:rsidR="009744C1">
        <w:t>В 2020 - 2022</w:t>
      </w:r>
      <w:r w:rsidR="000540E2" w:rsidRPr="00880DB4">
        <w:t xml:space="preserve"> годах   доля работающих на малых и средни</w:t>
      </w:r>
      <w:r w:rsidR="00F44EC4">
        <w:t>х предприятиях</w:t>
      </w:r>
      <w:r w:rsidR="009744C1">
        <w:t xml:space="preserve"> увеличится к уровню 2019</w:t>
      </w:r>
      <w:r w:rsidR="00334BD9">
        <w:t xml:space="preserve"> года </w:t>
      </w:r>
      <w:r w:rsidR="009744C1">
        <w:t xml:space="preserve">за счет ежегодного прироста работающих на малых и средних предприятиях на 10 процентов </w:t>
      </w:r>
      <w:r w:rsidR="00334BD9">
        <w:t>при сохранении</w:t>
      </w:r>
      <w:r w:rsidR="00F44EC4">
        <w:t xml:space="preserve"> численности работающих на</w:t>
      </w:r>
      <w:r w:rsidR="009744C1">
        <w:t xml:space="preserve"> крупных и средних</w:t>
      </w:r>
      <w:r w:rsidR="00F44EC4">
        <w:t xml:space="preserve"> предприятиях</w:t>
      </w:r>
      <w:r w:rsidR="000540E2" w:rsidRPr="00880DB4">
        <w:t>.</w:t>
      </w:r>
    </w:p>
    <w:p w:rsidR="00896846" w:rsidRDefault="00896846" w:rsidP="00896846">
      <w:pPr>
        <w:jc w:val="both"/>
      </w:pPr>
    </w:p>
    <w:p w:rsidR="00896846" w:rsidRDefault="00896846" w:rsidP="00662608">
      <w:pPr>
        <w:ind w:firstLine="708"/>
        <w:jc w:val="center"/>
        <w:rPr>
          <w:b/>
        </w:rPr>
      </w:pPr>
      <w:r>
        <w:t xml:space="preserve"> </w:t>
      </w:r>
      <w:r w:rsidRPr="000A41BC">
        <w:rPr>
          <w:b/>
        </w:rPr>
        <w:t>УЛУЧШЕНИЕ ИНВЕСТИЦИОННОЙ ПРИВЛЕКАТЕЛЬНОСТИ</w:t>
      </w:r>
    </w:p>
    <w:p w:rsidR="005D09A8" w:rsidRPr="000A41BC" w:rsidRDefault="005D09A8" w:rsidP="00662608">
      <w:pPr>
        <w:ind w:firstLine="708"/>
        <w:jc w:val="center"/>
        <w:rPr>
          <w:b/>
        </w:rPr>
      </w:pPr>
    </w:p>
    <w:p w:rsidR="00443D78" w:rsidRDefault="00896846" w:rsidP="00896846">
      <w:pPr>
        <w:jc w:val="both"/>
      </w:pPr>
      <w:r>
        <w:tab/>
        <w:t xml:space="preserve">Инвестиционная активность в </w:t>
      </w:r>
      <w:r w:rsidR="00B44741">
        <w:t xml:space="preserve">Красногорском </w:t>
      </w:r>
      <w:r>
        <w:t>районе невысокая из-за удаленности района от основных транспортных магистралей, неразвитости в районе про</w:t>
      </w:r>
      <w:r w:rsidR="004C16D9">
        <w:t>мышленного производства, недостаточного</w:t>
      </w:r>
      <w:r>
        <w:t xml:space="preserve"> уровня развития сельского хозя</w:t>
      </w:r>
      <w:r w:rsidR="008C76AA">
        <w:t xml:space="preserve">йства. </w:t>
      </w:r>
      <w:r w:rsidR="004C16D9">
        <w:t>Инвестиционная активность в 2019</w:t>
      </w:r>
      <w:r w:rsidR="004C16D9" w:rsidRPr="00443D78">
        <w:t xml:space="preserve"> году снизилась из-за отсутствия</w:t>
      </w:r>
      <w:r w:rsidR="004C16D9">
        <w:t xml:space="preserve"> строительства ферм, снижения числа реконструируемых ферм  и прекращения бурения скважин ЗАО «Чепецкое НГДУ».</w:t>
      </w:r>
    </w:p>
    <w:p w:rsidR="00443D78" w:rsidRDefault="00443D78" w:rsidP="006A26E2">
      <w:pPr>
        <w:ind w:firstLine="708"/>
        <w:jc w:val="both"/>
      </w:pPr>
      <w:r w:rsidRPr="00443D78">
        <w:t xml:space="preserve">Для стимулирования инвестиционной деятельности ведется реестр реализуемых инвестиционных проектов и инвестиционных площадок, на сайте района функционирует раздел «Инвестору». </w:t>
      </w:r>
      <w:proofErr w:type="gramStart"/>
      <w:r w:rsidR="004C16D9">
        <w:t xml:space="preserve">Объем инвестиций  в 2019 году </w:t>
      </w:r>
      <w:r w:rsidR="00517A59">
        <w:t>составил 111,6</w:t>
      </w:r>
      <w:r w:rsidRPr="00443D78">
        <w:t xml:space="preserve"> млн. руб., в том числе по крупны</w:t>
      </w:r>
      <w:r>
        <w:t>м</w:t>
      </w:r>
      <w:r w:rsidR="004C16D9">
        <w:t xml:space="preserve"> и средним организациям 79,8 млн. руб</w:t>
      </w:r>
      <w:r w:rsidR="00517A59">
        <w:t>. Из 51</w:t>
      </w:r>
      <w:r w:rsidRPr="00443D78">
        <w:t xml:space="preserve"> млн. руб. инвестиций в производственную сферу</w:t>
      </w:r>
      <w:r w:rsidR="00517A59">
        <w:t xml:space="preserve"> (19,16</w:t>
      </w:r>
      <w:r>
        <w:t xml:space="preserve"> млн. руб. по крупным)</w:t>
      </w:r>
      <w:r w:rsidR="00517A59">
        <w:t xml:space="preserve"> 15</w:t>
      </w:r>
      <w:r w:rsidRPr="00443D78">
        <w:t xml:space="preserve"> млн. руб. приход</w:t>
      </w:r>
      <w:r w:rsidR="00517A59">
        <w:t>ится  на ЗАО «Чепецкое НГДУ», 9,7</w:t>
      </w:r>
      <w:r w:rsidRPr="00443D78">
        <w:t xml:space="preserve"> млн. руб. на  ООО «Качкашурское»,</w:t>
      </w:r>
      <w:r w:rsidR="00517A59">
        <w:t xml:space="preserve"> 8,1 на ООО «Архангельское», по другим 11</w:t>
      </w:r>
      <w:r w:rsidRPr="00443D78">
        <w:t xml:space="preserve"> </w:t>
      </w:r>
      <w:proofErr w:type="spellStart"/>
      <w:r w:rsidRPr="00443D78">
        <w:t>сельхозорганиз</w:t>
      </w:r>
      <w:r w:rsidR="00517A59">
        <w:t>ациям</w:t>
      </w:r>
      <w:proofErr w:type="spellEnd"/>
      <w:r w:rsidR="009744C1">
        <w:t>, включая КФХ,</w:t>
      </w:r>
      <w:r w:rsidR="00517A59">
        <w:t xml:space="preserve"> инвестиции составили  11,6</w:t>
      </w:r>
      <w:proofErr w:type="gramEnd"/>
      <w:r w:rsidRPr="00443D78">
        <w:t xml:space="preserve"> млн. руб. </w:t>
      </w:r>
      <w:r w:rsidRPr="00443D78">
        <w:lastRenderedPageBreak/>
        <w:t>Инвестиции направлялись на приобретение техни</w:t>
      </w:r>
      <w:r w:rsidR="00517A59">
        <w:t>ки, машин и оборудования, реконструкции ферм, строительства магазина</w:t>
      </w:r>
      <w:r w:rsidR="006A26E2">
        <w:t>.</w:t>
      </w:r>
    </w:p>
    <w:p w:rsidR="00350B3E" w:rsidRDefault="006A26E2" w:rsidP="00896846">
      <w:pPr>
        <w:ind w:firstLine="708"/>
        <w:jc w:val="both"/>
      </w:pPr>
      <w:r>
        <w:t>В течение года реализовывались 4</w:t>
      </w:r>
      <w:r w:rsidR="00350B3E">
        <w:t xml:space="preserve"> инве</w:t>
      </w:r>
      <w:r>
        <w:t>стиционных прое</w:t>
      </w:r>
      <w:r w:rsidR="00517A59">
        <w:t>кта (реконструкция Удмурт-</w:t>
      </w:r>
      <w:proofErr w:type="spellStart"/>
      <w:r w:rsidR="00517A59">
        <w:t>Караульской</w:t>
      </w:r>
      <w:proofErr w:type="spellEnd"/>
      <w:r w:rsidR="00517A59">
        <w:t xml:space="preserve"> МТФ</w:t>
      </w:r>
      <w:r>
        <w:t xml:space="preserve"> ООО «Качкашурское», реконструкция фе</w:t>
      </w:r>
      <w:r w:rsidR="00517A59">
        <w:t>рмы молодняка КРС ООО «</w:t>
      </w:r>
      <w:proofErr w:type="spellStart"/>
      <w:r w:rsidR="00517A59">
        <w:t>Курьинское</w:t>
      </w:r>
      <w:proofErr w:type="spellEnd"/>
      <w:r w:rsidR="00517A59">
        <w:t xml:space="preserve">», строительство магазина ИП Филипповым М.Л., создание </w:t>
      </w:r>
      <w:proofErr w:type="spellStart"/>
      <w:r w:rsidR="00517A59">
        <w:t>агроусадьбы</w:t>
      </w:r>
      <w:proofErr w:type="spellEnd"/>
      <w:r w:rsidR="00517A59">
        <w:t xml:space="preserve"> в д. Новый </w:t>
      </w:r>
      <w:proofErr w:type="spellStart"/>
      <w:r w:rsidR="00517A59">
        <w:t>Качкашур</w:t>
      </w:r>
      <w:proofErr w:type="spellEnd"/>
      <w:r>
        <w:t>)</w:t>
      </w:r>
      <w:r w:rsidR="00517A59">
        <w:t>.</w:t>
      </w:r>
    </w:p>
    <w:p w:rsidR="00896846" w:rsidRDefault="00566224" w:rsidP="00896846">
      <w:pPr>
        <w:ind w:firstLine="708"/>
        <w:jc w:val="both"/>
      </w:pPr>
      <w:r>
        <w:t xml:space="preserve">Дальнейшая </w:t>
      </w:r>
      <w:r w:rsidR="00896846">
        <w:t>работа Администрации района будет направлена на:</w:t>
      </w:r>
    </w:p>
    <w:p w:rsidR="00896846" w:rsidRDefault="00896846" w:rsidP="00896846">
      <w:pPr>
        <w:ind w:firstLine="708"/>
        <w:jc w:val="both"/>
      </w:pPr>
      <w:r>
        <w:t xml:space="preserve"> создание базы инвестиционных проектов Красногорского района;  </w:t>
      </w:r>
    </w:p>
    <w:p w:rsidR="00896846" w:rsidRDefault="00896846" w:rsidP="00896846">
      <w:pPr>
        <w:ind w:firstLine="708"/>
        <w:jc w:val="both"/>
      </w:pPr>
      <w:r>
        <w:t xml:space="preserve">оказание нефинансовой поддержки инвестиционно-активным организациям, планирующим реализовать инвестиционный проект; </w:t>
      </w:r>
    </w:p>
    <w:p w:rsidR="00896846" w:rsidRDefault="00896846" w:rsidP="00896846">
      <w:pPr>
        <w:ind w:firstLine="708"/>
        <w:jc w:val="both"/>
      </w:pPr>
      <w:r>
        <w:t>сопровождение подготовки и реализации инвестиционных проектов, имеющих важное значение для развития района.</w:t>
      </w:r>
    </w:p>
    <w:p w:rsidR="00662608" w:rsidRDefault="00662608" w:rsidP="00896846">
      <w:pPr>
        <w:ind w:firstLine="708"/>
        <w:jc w:val="both"/>
      </w:pPr>
    </w:p>
    <w:p w:rsidR="00BF43FE" w:rsidRDefault="00BF43FE" w:rsidP="00BF43FE">
      <w:pPr>
        <w:jc w:val="both"/>
        <w:rPr>
          <w:b/>
        </w:rPr>
      </w:pPr>
      <w:r w:rsidRPr="000F2E41">
        <w:t>По</w:t>
      </w:r>
      <w:r>
        <w:t xml:space="preserve">казатель 3. </w:t>
      </w:r>
      <w:r>
        <w:rPr>
          <w:b/>
        </w:rPr>
        <w:t>Объем инвестиций в основной капитал (за исключением бюджетных средств) в расчете на 1 жителя: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16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44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667E04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16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667E04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3751,7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5329,71</w:t>
            </w:r>
          </w:p>
        </w:tc>
        <w:tc>
          <w:tcPr>
            <w:tcW w:w="1116" w:type="dxa"/>
          </w:tcPr>
          <w:p w:rsidR="00667E04" w:rsidRDefault="00667E04" w:rsidP="00443D78">
            <w:pPr>
              <w:jc w:val="center"/>
            </w:pPr>
            <w:r>
              <w:t>11871,89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5853,30</w:t>
            </w:r>
          </w:p>
        </w:tc>
        <w:tc>
          <w:tcPr>
            <w:tcW w:w="1107" w:type="dxa"/>
          </w:tcPr>
          <w:p w:rsidR="00667E04" w:rsidRDefault="00F93A61" w:rsidP="00443D78">
            <w:pPr>
              <w:jc w:val="center"/>
            </w:pPr>
            <w:r>
              <w:t>2216,80</w:t>
            </w:r>
          </w:p>
        </w:tc>
        <w:tc>
          <w:tcPr>
            <w:tcW w:w="1107" w:type="dxa"/>
          </w:tcPr>
          <w:p w:rsidR="00667E04" w:rsidRDefault="00F93A61" w:rsidP="00443D78">
            <w:pPr>
              <w:jc w:val="center"/>
            </w:pPr>
            <w:r>
              <w:t>2448,45</w:t>
            </w:r>
          </w:p>
        </w:tc>
        <w:tc>
          <w:tcPr>
            <w:tcW w:w="1108" w:type="dxa"/>
          </w:tcPr>
          <w:p w:rsidR="00667E04" w:rsidRDefault="00F93A61" w:rsidP="00443D78">
            <w:pPr>
              <w:jc w:val="center"/>
            </w:pPr>
            <w:r>
              <w:t>2691,92</w:t>
            </w:r>
          </w:p>
        </w:tc>
        <w:tc>
          <w:tcPr>
            <w:tcW w:w="1108" w:type="dxa"/>
          </w:tcPr>
          <w:p w:rsidR="00667E04" w:rsidRDefault="00F93A61" w:rsidP="00443D78">
            <w:pPr>
              <w:jc w:val="center"/>
            </w:pPr>
            <w:r>
              <w:t>2942,98</w:t>
            </w:r>
          </w:p>
        </w:tc>
      </w:tr>
    </w:tbl>
    <w:p w:rsidR="005C3C82" w:rsidRDefault="005C3C82" w:rsidP="00BF43FE">
      <w:pPr>
        <w:jc w:val="both"/>
        <w:rPr>
          <w:b/>
        </w:rPr>
      </w:pPr>
    </w:p>
    <w:p w:rsidR="00F93A61" w:rsidRPr="00F93A61" w:rsidRDefault="00F93A61" w:rsidP="0092760B">
      <w:pPr>
        <w:ind w:firstLine="708"/>
        <w:jc w:val="both"/>
      </w:pPr>
      <w:r w:rsidRPr="00F93A61">
        <w:t>В 2019 году общий объем инвестиций  в основной капитал крупных и средних организаций составил 79762 тыс. руб. и вырос к уровню 2018 года на 15</w:t>
      </w:r>
      <w:r>
        <w:t>% –</w:t>
      </w:r>
      <w:r w:rsidRPr="00F93A61">
        <w:t xml:space="preserve"> 13767 тыс. руб. за счет увеличения инвестиций в бюджетной сфере в 5,2 раза и резкого снижения инвестиций во внебюджетном секторе в 2,8 раза из-за отсутствуя бурения скважин в НГДУ.</w:t>
      </w:r>
    </w:p>
    <w:p w:rsidR="00F93A61" w:rsidRPr="00F93A61" w:rsidRDefault="00F93A61" w:rsidP="0092760B">
      <w:pPr>
        <w:ind w:firstLine="708"/>
        <w:jc w:val="both"/>
      </w:pPr>
      <w:r w:rsidRPr="00F93A61">
        <w:t>В 2019 году  объем инвестиций за счет бюджетных средств</w:t>
      </w:r>
      <w:r>
        <w:t xml:space="preserve"> вырос к уровню 2018 года</w:t>
      </w:r>
      <w:r w:rsidRPr="00F93A61">
        <w:t xml:space="preserve"> на 48980 тыс. руб. Бюджетные инвестиции осуществлены по достройке здания </w:t>
      </w:r>
      <w:proofErr w:type="spellStart"/>
      <w:r w:rsidRPr="00F93A61">
        <w:t>Багырского</w:t>
      </w:r>
      <w:proofErr w:type="spellEnd"/>
      <w:r w:rsidRPr="00F93A61">
        <w:t xml:space="preserve"> детского сада, капитальному ремонту зданий РДК, Детского сада № 2, </w:t>
      </w:r>
      <w:proofErr w:type="spellStart"/>
      <w:r w:rsidRPr="00F93A61">
        <w:t>Малягуртского</w:t>
      </w:r>
      <w:proofErr w:type="spellEnd"/>
      <w:r w:rsidRPr="00F93A61">
        <w:t xml:space="preserve"> СДК, Гимназии,  Васильевской и </w:t>
      </w:r>
      <w:proofErr w:type="spellStart"/>
      <w:r w:rsidRPr="00F93A61">
        <w:t>Валамазской</w:t>
      </w:r>
      <w:proofErr w:type="spellEnd"/>
      <w:r w:rsidRPr="00F93A61">
        <w:t xml:space="preserve">  школ.</w:t>
      </w:r>
    </w:p>
    <w:p w:rsidR="00F93A61" w:rsidRPr="00F93A61" w:rsidRDefault="00F93A61" w:rsidP="0092760B">
      <w:pPr>
        <w:ind w:firstLine="708"/>
        <w:jc w:val="both"/>
      </w:pPr>
      <w:r w:rsidRPr="00F93A61">
        <w:t>В 2019 году объем инвестиций за исключением бюджетных средств в расчете на 1 жителя района составил 2216,8 рублей, что меньше уровня 2018 года в 2,82 раза. Падение  показателя связано с уменьшением в 2019 году объема инвестиций за исключением бюджетных средств в 2,8 раза  (на 35213 тыс. руб.),  при снижении к 2018 году среднегодовой численности населения на 163 человека или 1,85 %. Инвестиции за исключением бюджетных средств в 2019 году выполнены по приобретению техники и торгового оборудования. В прогнозируемый период ожидается увеличение инвестиций за исключением бюджетных средств в расчете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отрицательного естественного прироста и миграции населения. В 2020 году темпы роста инвестиций составят 104,6 %, уровень  инфляции к 2019 году 104,2%,  на 2021 и 2022 годы темпы роста инвестиций составят 104,3 и 103,8% соответственно,  при уровне инфляции 104,2 и 104,1 %.</w:t>
      </w:r>
    </w:p>
    <w:p w:rsidR="00401222" w:rsidRDefault="00401222" w:rsidP="00BF43FE">
      <w:pPr>
        <w:jc w:val="both"/>
        <w:rPr>
          <w:b/>
        </w:rPr>
      </w:pPr>
    </w:p>
    <w:p w:rsidR="00BF43FE" w:rsidRDefault="00BF43FE" w:rsidP="00BF43FE">
      <w:pPr>
        <w:jc w:val="both"/>
        <w:rPr>
          <w:b/>
        </w:rPr>
      </w:pPr>
      <w:r w:rsidRPr="000F2E41">
        <w:t>По</w:t>
      </w:r>
      <w:r>
        <w:t xml:space="preserve">казатель 4. </w:t>
      </w:r>
      <w:r>
        <w:rPr>
          <w:b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района):</w:t>
      </w:r>
    </w:p>
    <w:p w:rsidR="005F33A6" w:rsidRDefault="005F33A6" w:rsidP="00BF43F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19,86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19,44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19,32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18,90</w:t>
            </w:r>
          </w:p>
        </w:tc>
        <w:tc>
          <w:tcPr>
            <w:tcW w:w="1107" w:type="dxa"/>
          </w:tcPr>
          <w:p w:rsidR="00667E04" w:rsidRDefault="00F93A61" w:rsidP="00443D78">
            <w:pPr>
              <w:jc w:val="center"/>
            </w:pPr>
            <w:r>
              <w:t>18,70</w:t>
            </w:r>
          </w:p>
        </w:tc>
        <w:tc>
          <w:tcPr>
            <w:tcW w:w="1107" w:type="dxa"/>
          </w:tcPr>
          <w:p w:rsidR="00667E04" w:rsidRDefault="00F93A61" w:rsidP="00443D78">
            <w:pPr>
              <w:jc w:val="center"/>
            </w:pPr>
            <w:r>
              <w:t>18,7</w:t>
            </w:r>
            <w:r w:rsidR="00667E04">
              <w:t>0</w:t>
            </w:r>
          </w:p>
        </w:tc>
        <w:tc>
          <w:tcPr>
            <w:tcW w:w="1108" w:type="dxa"/>
          </w:tcPr>
          <w:p w:rsidR="00667E04" w:rsidRDefault="00F93A61" w:rsidP="00443D78">
            <w:pPr>
              <w:jc w:val="center"/>
            </w:pPr>
            <w:r>
              <w:t>18,7</w:t>
            </w:r>
            <w:r w:rsidR="00667E04">
              <w:t>0</w:t>
            </w:r>
          </w:p>
        </w:tc>
        <w:tc>
          <w:tcPr>
            <w:tcW w:w="1108" w:type="dxa"/>
          </w:tcPr>
          <w:p w:rsidR="00667E04" w:rsidRDefault="00F93A61" w:rsidP="00443D78">
            <w:pPr>
              <w:jc w:val="center"/>
            </w:pPr>
            <w:r>
              <w:t>18,7</w:t>
            </w:r>
            <w:r w:rsidR="00667E04">
              <w:t>0</w:t>
            </w:r>
          </w:p>
        </w:tc>
      </w:tr>
    </w:tbl>
    <w:p w:rsidR="005C3C82" w:rsidRDefault="005C3C82" w:rsidP="00BF43FE">
      <w:pPr>
        <w:jc w:val="both"/>
        <w:rPr>
          <w:b/>
        </w:rPr>
      </w:pPr>
    </w:p>
    <w:p w:rsidR="00BF43FE" w:rsidRDefault="00BF43FE" w:rsidP="00BF43FE">
      <w:pPr>
        <w:ind w:firstLine="708"/>
        <w:jc w:val="both"/>
      </w:pPr>
      <w:r>
        <w:t>Площадь</w:t>
      </w:r>
      <w:r w:rsidR="00D541DD">
        <w:t xml:space="preserve"> земельных участков, облагаемых</w:t>
      </w:r>
      <w:r>
        <w:t xml:space="preserve"> зе</w:t>
      </w:r>
      <w:r w:rsidR="0017088B">
        <w:t>мельным налогом</w:t>
      </w:r>
      <w:r w:rsidR="00F93A61">
        <w:t xml:space="preserve"> в 2019</w:t>
      </w:r>
      <w:r w:rsidR="000D0B9B">
        <w:t xml:space="preserve"> году</w:t>
      </w:r>
      <w:r w:rsidR="00F93A61">
        <w:t xml:space="preserve"> составляет 34791</w:t>
      </w:r>
      <w:r w:rsidR="00111262">
        <w:t xml:space="preserve"> га. </w:t>
      </w:r>
      <w:r w:rsidR="00D541DD">
        <w:t xml:space="preserve">Площадь </w:t>
      </w:r>
      <w:r w:rsidR="00111262">
        <w:t>снизилась к уровню 201</w:t>
      </w:r>
      <w:r w:rsidR="00F93A61">
        <w:t>8 года на 366</w:t>
      </w:r>
      <w:r w:rsidR="0017088B">
        <w:t xml:space="preserve"> га </w:t>
      </w:r>
      <w:r w:rsidR="00F93A61">
        <w:t>(1</w:t>
      </w:r>
      <w:r w:rsidR="00D541DD">
        <w:t xml:space="preserve"> </w:t>
      </w:r>
      <w:r w:rsidR="00111262">
        <w:t xml:space="preserve">%) </w:t>
      </w:r>
      <w:r w:rsidR="0017088B">
        <w:t>за счет отказа собственников и владельцев от земельных долей</w:t>
      </w:r>
      <w:r w:rsidR="004E29AE">
        <w:t xml:space="preserve"> и земельных участков</w:t>
      </w:r>
      <w:r w:rsidR="005F33A6">
        <w:t>, снижения спроса на приобретение земельных участков</w:t>
      </w:r>
      <w:r w:rsidR="0060354A">
        <w:t xml:space="preserve"> в собственность, предоставления земель в аренду, безвозмездное пользование, переоформления права постоянного пользования на право аренды</w:t>
      </w:r>
      <w:r w:rsidR="004E29AE">
        <w:t>. Общая площадь территории Красног</w:t>
      </w:r>
      <w:r w:rsidR="00F93A61">
        <w:t>орского района 186005 га. В 2019</w:t>
      </w:r>
      <w:r>
        <w:t xml:space="preserve"> году доля площади, облагаемого земельным налогом в общей площади </w:t>
      </w:r>
      <w:r w:rsidR="004E29AE">
        <w:t>муници</w:t>
      </w:r>
      <w:r w:rsidR="00F93A61">
        <w:t>пального района составляет 18,7</w:t>
      </w:r>
      <w:r>
        <w:t xml:space="preserve"> </w:t>
      </w:r>
      <w:r>
        <w:lastRenderedPageBreak/>
        <w:t>проце</w:t>
      </w:r>
      <w:r w:rsidR="00401222">
        <w:t>нта</w:t>
      </w:r>
      <w:r w:rsidR="00D15A3E">
        <w:t xml:space="preserve"> со снижением к уровню </w:t>
      </w:r>
      <w:r w:rsidR="0060354A">
        <w:t>предшествую</w:t>
      </w:r>
      <w:r w:rsidR="00F93A61">
        <w:t>щего года на 0,</w:t>
      </w:r>
      <w:r w:rsidR="00D15A3E">
        <w:t>2 процентных пункта</w:t>
      </w:r>
      <w:r w:rsidR="004E29AE">
        <w:t>. В последующие три года пок</w:t>
      </w:r>
      <w:r w:rsidR="00F93A61">
        <w:t>азатель останется на уровне 2019</w:t>
      </w:r>
      <w:r w:rsidR="004E29AE">
        <w:t xml:space="preserve"> года.</w:t>
      </w:r>
      <w:r>
        <w:t xml:space="preserve"> </w:t>
      </w:r>
    </w:p>
    <w:p w:rsidR="00401222" w:rsidRDefault="00401222" w:rsidP="00BF43FE">
      <w:pPr>
        <w:ind w:firstLine="708"/>
        <w:jc w:val="both"/>
      </w:pPr>
    </w:p>
    <w:p w:rsidR="00401222" w:rsidRPr="003A2B5F" w:rsidRDefault="00401222" w:rsidP="00662608">
      <w:pPr>
        <w:jc w:val="center"/>
        <w:rPr>
          <w:b/>
        </w:rPr>
      </w:pPr>
      <w:r w:rsidRPr="003A2B5F">
        <w:rPr>
          <w:b/>
        </w:rPr>
        <w:t>СЕЛЬСКОЕ ХОЗЯЙСТВО</w:t>
      </w:r>
    </w:p>
    <w:p w:rsidR="005B6561" w:rsidRDefault="00401222" w:rsidP="00401222">
      <w:pPr>
        <w:ind w:firstLine="708"/>
        <w:jc w:val="both"/>
      </w:pPr>
      <w:r>
        <w:t>Уровень развития се</w:t>
      </w:r>
      <w:r w:rsidR="000D0B9B">
        <w:t>ль</w:t>
      </w:r>
      <w:r w:rsidR="001879E2">
        <w:t>ского хозяйства в районе невысок</w:t>
      </w:r>
      <w:r>
        <w:t>. Урож</w:t>
      </w:r>
      <w:r w:rsidR="001879E2">
        <w:t>айность зерновых культур  в 2019 го</w:t>
      </w:r>
      <w:r w:rsidR="009C3BE2">
        <w:t>ду составила 14,</w:t>
      </w:r>
      <w:r w:rsidR="001879E2">
        <w:t>8</w:t>
      </w:r>
      <w:r w:rsidR="00D15A3E">
        <w:t xml:space="preserve"> ц\га</w:t>
      </w:r>
      <w:r>
        <w:t>. Надой молока на 1 корову</w:t>
      </w:r>
      <w:r w:rsidR="001879E2">
        <w:t xml:space="preserve"> -5056</w:t>
      </w:r>
      <w:r w:rsidR="001F0BCE">
        <w:t xml:space="preserve"> кг и</w:t>
      </w:r>
      <w:r w:rsidR="001879E2">
        <w:t>ли  на 15</w:t>
      </w:r>
      <w:r>
        <w:t>00 кг ниже среднерес</w:t>
      </w:r>
      <w:r w:rsidR="000D0B9B">
        <w:t>публиканского показателя</w:t>
      </w:r>
      <w:r w:rsidR="00D15A3E">
        <w:t xml:space="preserve">. </w:t>
      </w:r>
      <w:r>
        <w:t xml:space="preserve">Поголовье </w:t>
      </w:r>
      <w:r w:rsidR="001F0BCE">
        <w:t xml:space="preserve">крупного рогатого </w:t>
      </w:r>
      <w:r>
        <w:t>ско</w:t>
      </w:r>
      <w:r w:rsidR="005B6561">
        <w:t>та на предприятиях района и в К</w:t>
      </w:r>
      <w:r w:rsidR="009F7EBF">
        <w:t>ФХ</w:t>
      </w:r>
      <w:r w:rsidR="001879E2">
        <w:t xml:space="preserve"> составило 4447</w:t>
      </w:r>
      <w:r w:rsidR="001F0BCE">
        <w:t xml:space="preserve"> голов против</w:t>
      </w:r>
      <w:r w:rsidR="001879E2">
        <w:t xml:space="preserve"> 4736</w:t>
      </w:r>
      <w:r w:rsidR="005B6561">
        <w:t xml:space="preserve"> голов</w:t>
      </w:r>
      <w:r w:rsidR="001879E2">
        <w:t xml:space="preserve"> в 2018</w:t>
      </w:r>
      <w:r w:rsidR="001F0BCE">
        <w:t xml:space="preserve"> году</w:t>
      </w:r>
      <w:r w:rsidR="00F034A5">
        <w:t xml:space="preserve"> с сохранением поголовья коров </w:t>
      </w:r>
      <w:r w:rsidR="003920AC">
        <w:t xml:space="preserve"> 2102</w:t>
      </w:r>
      <w:r w:rsidR="005B6561">
        <w:t xml:space="preserve"> голов</w:t>
      </w:r>
      <w:r w:rsidR="003920AC">
        <w:t>ы</w:t>
      </w:r>
      <w:r>
        <w:t xml:space="preserve">. </w:t>
      </w:r>
    </w:p>
    <w:p w:rsidR="003920AC" w:rsidRDefault="003920AC" w:rsidP="00401222">
      <w:pPr>
        <w:ind w:firstLine="708"/>
        <w:jc w:val="both"/>
      </w:pPr>
      <w:r>
        <w:t>За 2018</w:t>
      </w:r>
      <w:r w:rsidR="00401222">
        <w:t xml:space="preserve"> год п</w:t>
      </w:r>
      <w:r w:rsidR="0057548E">
        <w:t>олучен валовой надой молока 10830</w:t>
      </w:r>
      <w:r w:rsidR="00401222">
        <w:t xml:space="preserve"> тонн</w:t>
      </w:r>
      <w:r w:rsidR="0057548E">
        <w:t>ы – 115</w:t>
      </w:r>
      <w:r w:rsidR="00981BF2">
        <w:t xml:space="preserve"> % к 201</w:t>
      </w:r>
      <w:r w:rsidR="0057548E">
        <w:t>8 году с ростом на 1399</w:t>
      </w:r>
      <w:r w:rsidR="005B6561">
        <w:t xml:space="preserve"> тонн.</w:t>
      </w:r>
      <w:r w:rsidR="00401222">
        <w:t xml:space="preserve"> </w:t>
      </w:r>
      <w:r w:rsidR="0057548E">
        <w:t>Выращено 343</w:t>
      </w:r>
      <w:r w:rsidR="00401222">
        <w:t xml:space="preserve"> тонн живо</w:t>
      </w:r>
      <w:r>
        <w:t xml:space="preserve">й </w:t>
      </w:r>
      <w:r w:rsidR="0057548E">
        <w:t>массы скота при реализации 476</w:t>
      </w:r>
      <w:r w:rsidR="00401222">
        <w:t xml:space="preserve"> тонн. </w:t>
      </w:r>
    </w:p>
    <w:p w:rsidR="00401222" w:rsidRDefault="00401222" w:rsidP="00401222">
      <w:pPr>
        <w:ind w:firstLine="708"/>
        <w:jc w:val="both"/>
      </w:pPr>
      <w:r>
        <w:t>Выручка от реализации продукции сель</w:t>
      </w:r>
      <w:r w:rsidR="0057548E">
        <w:t>хозпредприятий составила за 2019 год 312,5</w:t>
      </w:r>
      <w:r w:rsidR="00480DCF">
        <w:t xml:space="preserve"> млн. руб</w:t>
      </w:r>
      <w:r>
        <w:t>.</w:t>
      </w:r>
      <w:r w:rsidR="003920AC">
        <w:t>, в т</w:t>
      </w:r>
      <w:r w:rsidR="0057548E">
        <w:t>ом числе субсидии 30,1</w:t>
      </w:r>
      <w:r w:rsidR="003920AC">
        <w:t xml:space="preserve"> млн. ру</w:t>
      </w:r>
      <w:r w:rsidR="0057548E">
        <w:t>б</w:t>
      </w:r>
      <w:r w:rsidR="00912616">
        <w:t>.</w:t>
      </w:r>
      <w:r>
        <w:t xml:space="preserve"> Среднемесячная заработная плата на одного работающ</w:t>
      </w:r>
      <w:r w:rsidR="0057548E">
        <w:t>его в сельском хозяйстве за 2019 год составила 18386</w:t>
      </w:r>
      <w:r w:rsidR="003920AC">
        <w:t xml:space="preserve"> рублей</w:t>
      </w:r>
      <w:r w:rsidR="001F0BCE">
        <w:t>, чт</w:t>
      </w:r>
      <w:r w:rsidR="0057548E">
        <w:t>о на 26</w:t>
      </w:r>
      <w:r w:rsidR="001F0BCE">
        <w:t xml:space="preserve"> </w:t>
      </w:r>
      <w:r w:rsidR="00981BF2">
        <w:t>% ниже среднемесячной заработной платы по крупным и средним организациям района</w:t>
      </w:r>
      <w:r w:rsidR="000A4E96">
        <w:t xml:space="preserve">. </w:t>
      </w:r>
      <w:r w:rsidR="00912616">
        <w:t>Численность работа</w:t>
      </w:r>
      <w:r w:rsidR="00981BF2">
        <w:t xml:space="preserve">ющих </w:t>
      </w:r>
      <w:r w:rsidR="001F0BCE">
        <w:t xml:space="preserve"> в сельском хозяйстве </w:t>
      </w:r>
      <w:r w:rsidR="00981BF2">
        <w:t>на конец года составила</w:t>
      </w:r>
      <w:r w:rsidR="0057548E">
        <w:t xml:space="preserve"> 301</w:t>
      </w:r>
      <w:r w:rsidR="001F0BCE">
        <w:t xml:space="preserve"> чело</w:t>
      </w:r>
      <w:r w:rsidR="0057548E">
        <w:t>век, что ниже показателя за 2018 год на 5</w:t>
      </w:r>
      <w:r w:rsidR="00912616">
        <w:t xml:space="preserve"> человек. Финансовый результат от хозяйственной дея</w:t>
      </w:r>
      <w:r w:rsidR="00E47A4B">
        <w:t>тельности –</w:t>
      </w:r>
      <w:r w:rsidR="00CD5898">
        <w:t xml:space="preserve"> бала</w:t>
      </w:r>
      <w:r w:rsidR="0057548E">
        <w:t>нсовая прибыль в сумме 27,3</w:t>
      </w:r>
      <w:r w:rsidR="00912616">
        <w:t xml:space="preserve"> </w:t>
      </w:r>
      <w:r w:rsidR="00E47A4B">
        <w:t>м</w:t>
      </w:r>
      <w:r w:rsidR="00CD5898">
        <w:t>лн. руб. Прибыльно работали 9</w:t>
      </w:r>
      <w:r w:rsidR="00912616">
        <w:t xml:space="preserve"> </w:t>
      </w:r>
      <w:r w:rsidR="00821510">
        <w:t>сельскохозя</w:t>
      </w:r>
      <w:r w:rsidR="00CD5898">
        <w:t>йственных предприятий из 10</w:t>
      </w:r>
      <w:r w:rsidR="00821510">
        <w:t>. Рентабельность производства</w:t>
      </w:r>
      <w:r w:rsidR="00E47A4B">
        <w:t xml:space="preserve"> в с</w:t>
      </w:r>
      <w:r w:rsidR="00CD5898">
        <w:t>реднем по</w:t>
      </w:r>
      <w:r w:rsidR="0057548E">
        <w:t xml:space="preserve"> району составила 9 %</w:t>
      </w:r>
      <w:r w:rsidR="00821510">
        <w:t>. Кредиторская задолженность предприятий</w:t>
      </w:r>
      <w:r w:rsidR="008B0BC4">
        <w:t xml:space="preserve"> составила 31,6</w:t>
      </w:r>
      <w:r w:rsidR="00821510">
        <w:t xml:space="preserve"> м</w:t>
      </w:r>
      <w:r w:rsidR="008B0BC4">
        <w:t>лн. руб. и снизилась к уровню 2018</w:t>
      </w:r>
      <w:r w:rsidR="00E47A4B">
        <w:t xml:space="preserve"> года</w:t>
      </w:r>
      <w:r w:rsidR="00CD5898">
        <w:t xml:space="preserve"> на 2,5 млн. руб.</w:t>
      </w:r>
      <w:r w:rsidR="00E47A4B">
        <w:t>, в том числе задолженность по налогам и сборам и страховым взносам остается знач</w:t>
      </w:r>
      <w:r w:rsidR="008B0BC4">
        <w:t>ительной – 3,6</w:t>
      </w:r>
      <w:r w:rsidR="00E47A4B">
        <w:t xml:space="preserve"> млн. руб.</w:t>
      </w:r>
    </w:p>
    <w:p w:rsidR="00401222" w:rsidRDefault="00401222" w:rsidP="000A4E96">
      <w:pPr>
        <w:jc w:val="both"/>
      </w:pPr>
      <w:r>
        <w:tab/>
        <w:t>Для дальнейшего развития сельского хозяйства работа будет направлена на</w:t>
      </w:r>
      <w:r w:rsidR="00D15A3E">
        <w:t xml:space="preserve"> увеличение инвестиций в строительство и реконструкцию молочных ферм, п</w:t>
      </w:r>
      <w:r w:rsidR="008B0BC4">
        <w:t xml:space="preserve">ривлечение </w:t>
      </w:r>
      <w:r w:rsidR="00D15A3E">
        <w:t xml:space="preserve"> новых фермеров</w:t>
      </w:r>
      <w:r w:rsidR="001012C7">
        <w:t>. Требуется</w:t>
      </w:r>
      <w:r>
        <w:t xml:space="preserve"> улучшение кормовой базы животноводства за счет расширения видового состава кормовых культур, повышения качества кормов, налаживания воспроизводства стада</w:t>
      </w:r>
      <w:r w:rsidR="00CD5898">
        <w:t xml:space="preserve"> путем</w:t>
      </w:r>
      <w:r>
        <w:t xml:space="preserve"> улучшения п</w:t>
      </w:r>
      <w:r w:rsidR="00F93A61">
        <w:t>леменного дела.</w:t>
      </w:r>
      <w:r>
        <w:t xml:space="preserve">  Требуется улучшить техническую оснащенность предприятий современной техникой, соблюдать технологии содержания скота и выращивания сельскохозяйственных культур, применять передовые методы организации производственной деятельности. В</w:t>
      </w:r>
      <w:r w:rsidR="000A4E96">
        <w:t>ажной задачей  для сохранения урожая является применение</w:t>
      </w:r>
      <w:r>
        <w:t xml:space="preserve"> химических методов борьбы с сорняками и вредителями растений. Будут внедряться новые культуры и новые сорта растений, вестись </w:t>
      </w:r>
      <w:proofErr w:type="spellStart"/>
      <w:r>
        <w:t>сортообновление</w:t>
      </w:r>
      <w:proofErr w:type="spellEnd"/>
      <w:r>
        <w:t>, проводит</w:t>
      </w:r>
      <w:r w:rsidR="000A4E96">
        <w:t>ься работа по улучшению качества семян.</w:t>
      </w:r>
    </w:p>
    <w:p w:rsidR="00401222" w:rsidRDefault="00401222" w:rsidP="00401222">
      <w:pPr>
        <w:jc w:val="both"/>
      </w:pPr>
    </w:p>
    <w:p w:rsidR="00401222" w:rsidRDefault="000A4E96" w:rsidP="00401222">
      <w:pPr>
        <w:rPr>
          <w:b/>
        </w:rPr>
      </w:pPr>
      <w:r w:rsidRPr="000F2E41">
        <w:t>По</w:t>
      </w:r>
      <w:r>
        <w:t>казатель № 5</w:t>
      </w:r>
      <w:r w:rsidR="00401222">
        <w:t xml:space="preserve">. </w:t>
      </w:r>
      <w:r w:rsidR="00401222">
        <w:rPr>
          <w:b/>
        </w:rPr>
        <w:t>Число прибыльных сельскохозяйственных организаций:</w:t>
      </w:r>
    </w:p>
    <w:p w:rsidR="005F33A6" w:rsidRDefault="005F33A6" w:rsidP="00401222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100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87,50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90,0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90,0</w:t>
            </w:r>
          </w:p>
        </w:tc>
        <w:tc>
          <w:tcPr>
            <w:tcW w:w="1107" w:type="dxa"/>
          </w:tcPr>
          <w:p w:rsidR="00667E04" w:rsidRDefault="00897D83" w:rsidP="00443D78">
            <w:pPr>
              <w:jc w:val="center"/>
            </w:pPr>
            <w:r>
              <w:t>90,0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</w:tr>
    </w:tbl>
    <w:p w:rsidR="005C3C82" w:rsidRDefault="005C3C82" w:rsidP="00401222">
      <w:pPr>
        <w:rPr>
          <w:b/>
        </w:rPr>
      </w:pPr>
    </w:p>
    <w:p w:rsidR="000A4E96" w:rsidRPr="00F57CEA" w:rsidRDefault="00897D83" w:rsidP="00924B06">
      <w:pPr>
        <w:ind w:firstLine="708"/>
        <w:jc w:val="both"/>
        <w:rPr>
          <w:b/>
        </w:rPr>
      </w:pPr>
      <w:r>
        <w:t>Всего на конец 2019</w:t>
      </w:r>
      <w:r w:rsidR="004E29AE">
        <w:t xml:space="preserve"> года имел</w:t>
      </w:r>
      <w:r w:rsidR="00CD5898">
        <w:t>ось 10</w:t>
      </w:r>
      <w:r w:rsidR="000A4E96" w:rsidRPr="00F57CEA">
        <w:t xml:space="preserve"> сельско</w:t>
      </w:r>
      <w:r w:rsidR="005F33A6">
        <w:t>хозяйственных организаций</w:t>
      </w:r>
      <w:r w:rsidR="00CD5898">
        <w:t>.</w:t>
      </w:r>
    </w:p>
    <w:p w:rsidR="00401222" w:rsidRPr="00F57CEA" w:rsidRDefault="00924B06" w:rsidP="00BF43FE">
      <w:pPr>
        <w:ind w:firstLine="708"/>
        <w:jc w:val="both"/>
      </w:pPr>
      <w:r>
        <w:t>За 201</w:t>
      </w:r>
      <w:r w:rsidR="00897D83">
        <w:t>9</w:t>
      </w:r>
      <w:r w:rsidR="00CD5898">
        <w:t xml:space="preserve"> год 9</w:t>
      </w:r>
      <w:r>
        <w:t xml:space="preserve"> сельхозпредприятий района</w:t>
      </w:r>
      <w:r w:rsidR="000A4E96" w:rsidRPr="00F57CEA">
        <w:t xml:space="preserve"> получили прибыль от хозяйственной деятельности</w:t>
      </w:r>
      <w:r w:rsidR="00897D83">
        <w:t xml:space="preserve"> в сумме 22,8</w:t>
      </w:r>
      <w:r>
        <w:t xml:space="preserve"> млн. руб. </w:t>
      </w:r>
      <w:r w:rsidR="00F57CEA">
        <w:t xml:space="preserve"> и</w:t>
      </w:r>
      <w:r w:rsidR="00F57CEA" w:rsidRPr="00F57CEA">
        <w:t xml:space="preserve"> доля прибыльных сельскохозяйс</w:t>
      </w:r>
      <w:r>
        <w:t>т</w:t>
      </w:r>
      <w:r w:rsidR="00B44189">
        <w:t xml:space="preserve">венных организаций </w:t>
      </w:r>
      <w:r w:rsidR="00CD5898">
        <w:t>составила 90</w:t>
      </w:r>
      <w:r w:rsidR="00F57CEA" w:rsidRPr="00F57CEA">
        <w:t xml:space="preserve"> %</w:t>
      </w:r>
      <w:r w:rsidR="000A4E96" w:rsidRPr="00F57CEA">
        <w:t xml:space="preserve">. </w:t>
      </w:r>
      <w:r w:rsidR="00897D83">
        <w:t>Убыток в 2,04</w:t>
      </w:r>
      <w:r w:rsidR="00B44189">
        <w:t xml:space="preserve"> млн. руб. имеет СПК «Прогресс» в результате падения объемов произв</w:t>
      </w:r>
      <w:r w:rsidR="00CD5898">
        <w:t>одства молока,</w:t>
      </w:r>
      <w:r w:rsidR="00B44189">
        <w:t xml:space="preserve"> высоких затрат на производство.</w:t>
      </w:r>
      <w:r w:rsidR="000A4E96" w:rsidRPr="00F57CEA">
        <w:t xml:space="preserve"> В прогнозируемый период планируется за счет работы по улучшению качества молока, увеличения объемов производства продукции, оптимизации затрат  обеспечить прибыльную работу всех </w:t>
      </w:r>
      <w:r w:rsidR="00A573FF">
        <w:t xml:space="preserve">10 </w:t>
      </w:r>
      <w:r w:rsidR="000A4E96" w:rsidRPr="00F57CEA">
        <w:t>сельскохозяйственных предприятий района.</w:t>
      </w:r>
    </w:p>
    <w:p w:rsidR="007F6D4F" w:rsidRDefault="007F6D4F" w:rsidP="000A4E96">
      <w:pPr>
        <w:ind w:firstLine="708"/>
        <w:jc w:val="both"/>
        <w:rPr>
          <w:b/>
        </w:rPr>
      </w:pPr>
    </w:p>
    <w:p w:rsidR="00BF43FE" w:rsidRPr="000A41BC" w:rsidRDefault="007F6D4F" w:rsidP="007F6D4F">
      <w:pPr>
        <w:jc w:val="center"/>
        <w:rPr>
          <w:b/>
        </w:rPr>
      </w:pPr>
      <w:r w:rsidRPr="000A41BC">
        <w:rPr>
          <w:b/>
        </w:rPr>
        <w:t>ДОРОЖНОЕ ХОЗЯЙСТВО</w:t>
      </w:r>
    </w:p>
    <w:p w:rsidR="007F6D4F" w:rsidRDefault="007F6D4F" w:rsidP="007F6D4F">
      <w:pPr>
        <w:ind w:firstLine="708"/>
        <w:jc w:val="both"/>
      </w:pPr>
      <w:r>
        <w:t>Общая протяженность автомобильных д</w:t>
      </w:r>
      <w:r w:rsidR="004A3E6A">
        <w:t>орог по району составляет 447,56</w:t>
      </w:r>
      <w:r>
        <w:t xml:space="preserve"> км, в том числе протяженность автомобильных дорог общего поль</w:t>
      </w:r>
      <w:r w:rsidR="007A51F7">
        <w:t>зования местного значе</w:t>
      </w:r>
      <w:r w:rsidR="004A3E6A">
        <w:t>ния -212,4</w:t>
      </w:r>
      <w:r w:rsidR="00B44189">
        <w:t xml:space="preserve"> км</w:t>
      </w:r>
      <w:r>
        <w:t xml:space="preserve">. Автомобильные дороги в основном грунтовые и переходного типа (гравийные). Протяженность дорог с асфальтовым покрытием равна </w:t>
      </w:r>
      <w:smartTag w:uri="urn:schemas-microsoft-com:office:smarttags" w:element="metricconverter">
        <w:smartTagPr>
          <w:attr w:name="ProductID" w:val="57,08 км"/>
        </w:smartTagPr>
        <w:r>
          <w:t>57,08 км</w:t>
        </w:r>
      </w:smartTag>
      <w:r>
        <w:t xml:space="preserve">, из которых общего пользования местного значения </w:t>
      </w:r>
      <w:smartTag w:uri="urn:schemas-microsoft-com:office:smarttags" w:element="metricconverter">
        <w:smartTagPr>
          <w:attr w:name="ProductID" w:val="3,08 км"/>
        </w:smartTagPr>
        <w:r>
          <w:t>3,08 км</w:t>
        </w:r>
      </w:smartTag>
      <w:r>
        <w:t xml:space="preserve">. Состояние большинства дорог общего пользования местного значения неудовлетворительное. Износ большей части автомобильных дорог с </w:t>
      </w:r>
      <w:r>
        <w:lastRenderedPageBreak/>
        <w:t>покрытием п</w:t>
      </w:r>
      <w:r w:rsidR="005E06A3">
        <w:t>ереходного типа составляет почти</w:t>
      </w:r>
      <w:r w:rsidR="004A3E6A">
        <w:t xml:space="preserve"> 76</w:t>
      </w:r>
      <w:r>
        <w:t xml:space="preserve"> %. Требует капитального ремонта дорога республиканского значения «п. Игра- с.</w:t>
      </w:r>
      <w:r w:rsidR="00384CC6">
        <w:t xml:space="preserve"> </w:t>
      </w:r>
      <w:r>
        <w:t>Красногорское»</w:t>
      </w:r>
      <w:r w:rsidR="009830AF">
        <w:t xml:space="preserve">, дорога на с. </w:t>
      </w:r>
      <w:proofErr w:type="gramStart"/>
      <w:r w:rsidR="009830AF">
        <w:t>Архангельское</w:t>
      </w:r>
      <w:proofErr w:type="gramEnd"/>
      <w:r w:rsidR="009830AF">
        <w:t xml:space="preserve"> и д. Бараны</w:t>
      </w:r>
      <w:r>
        <w:t>.</w:t>
      </w:r>
      <w:r w:rsidR="007A51F7">
        <w:t xml:space="preserve"> </w:t>
      </w:r>
      <w:r>
        <w:t>Отсутствие благоустроенных дорог является одной из причин снижения численности сельского населения, приводит к высоким транспортным издержкам пре</w:t>
      </w:r>
      <w:r w:rsidR="00C32D2D">
        <w:t>дприятий района</w:t>
      </w:r>
      <w:r>
        <w:t>.</w:t>
      </w:r>
    </w:p>
    <w:p w:rsidR="00384CC6" w:rsidRDefault="00384CC6" w:rsidP="00384CC6">
      <w:pPr>
        <w:ind w:firstLine="708"/>
        <w:jc w:val="both"/>
      </w:pPr>
      <w:r>
        <w:t xml:space="preserve">Общее финансирование на </w:t>
      </w:r>
      <w:r w:rsidR="00B44189">
        <w:t>содержание</w:t>
      </w:r>
      <w:r w:rsidR="00A573FF">
        <w:t>, реконструкцию</w:t>
      </w:r>
      <w:r w:rsidR="00B44189">
        <w:t xml:space="preserve"> и ремонт д</w:t>
      </w:r>
      <w:r w:rsidR="004028DD">
        <w:t>орог в 2019</w:t>
      </w:r>
      <w:r w:rsidR="005C1E07">
        <w:t xml:space="preserve"> году составило </w:t>
      </w:r>
      <w:r w:rsidR="001301D9">
        <w:t xml:space="preserve">10,8 </w:t>
      </w:r>
      <w:r w:rsidR="005C1E07">
        <w:t xml:space="preserve">млн. руб. </w:t>
      </w:r>
    </w:p>
    <w:p w:rsidR="00BF43FE" w:rsidRDefault="00384CC6" w:rsidP="007F6D4F">
      <w:pPr>
        <w:jc w:val="both"/>
      </w:pPr>
      <w:r>
        <w:t xml:space="preserve"> За счет средств дорожного фонда</w:t>
      </w:r>
      <w:r w:rsidR="005F33A6">
        <w:t xml:space="preserve">  проведен</w:t>
      </w:r>
      <w:r w:rsidR="0028017C">
        <w:t xml:space="preserve"> капитальный </w:t>
      </w:r>
      <w:r w:rsidR="001301D9">
        <w:t xml:space="preserve"> ремонт 3,69</w:t>
      </w:r>
      <w:r>
        <w:t xml:space="preserve"> км улично-дорожной сет</w:t>
      </w:r>
      <w:r w:rsidR="00E654F2">
        <w:t>и в с. Красногорское и по населе</w:t>
      </w:r>
      <w:r w:rsidR="005C1E07">
        <w:t>н</w:t>
      </w:r>
      <w:r w:rsidR="0028017C">
        <w:t>ным пунктам райо</w:t>
      </w:r>
      <w:r w:rsidR="001301D9">
        <w:t>на на сумму 5,6</w:t>
      </w:r>
      <w:r w:rsidR="00AF68DA">
        <w:t xml:space="preserve"> млн. руб.</w:t>
      </w:r>
    </w:p>
    <w:p w:rsidR="0028017C" w:rsidRPr="0028017C" w:rsidRDefault="0028017C" w:rsidP="0028017C">
      <w:pPr>
        <w:spacing w:line="276" w:lineRule="auto"/>
        <w:ind w:firstLine="709"/>
        <w:jc w:val="both"/>
      </w:pPr>
      <w:r w:rsidRPr="0028017C">
        <w:t>Про</w:t>
      </w:r>
      <w:r w:rsidR="001301D9">
        <w:t>в</w:t>
      </w:r>
      <w:r w:rsidR="009C3BE2">
        <w:t>едены работы по реконструкции 8,</w:t>
      </w:r>
      <w:r w:rsidR="001301D9">
        <w:t xml:space="preserve">4 км </w:t>
      </w:r>
      <w:r w:rsidRPr="0028017C">
        <w:t xml:space="preserve"> </w:t>
      </w:r>
      <w:r w:rsidR="001301D9">
        <w:t xml:space="preserve">автодороги Красногорское – </w:t>
      </w:r>
      <w:proofErr w:type="spellStart"/>
      <w:r w:rsidR="001301D9">
        <w:t>Убытьдур</w:t>
      </w:r>
      <w:proofErr w:type="spellEnd"/>
      <w:r w:rsidRPr="0028017C">
        <w:t>. Стоимость строительно-монтажных работ</w:t>
      </w:r>
      <w:r w:rsidR="001301D9">
        <w:rPr>
          <w:bCs/>
        </w:rPr>
        <w:t xml:space="preserve"> </w:t>
      </w:r>
      <w:r w:rsidR="00897D83">
        <w:rPr>
          <w:bCs/>
        </w:rPr>
        <w:t>90,3 млн.</w:t>
      </w:r>
      <w:r w:rsidRPr="0028017C">
        <w:t xml:space="preserve"> руб. </w:t>
      </w:r>
    </w:p>
    <w:p w:rsidR="001301D9" w:rsidRPr="004043D3" w:rsidRDefault="001301D9" w:rsidP="00E3313F">
      <w:pPr>
        <w:spacing w:line="276" w:lineRule="auto"/>
        <w:ind w:right="-30" w:firstLine="567"/>
        <w:jc w:val="both"/>
      </w:pPr>
      <w:r w:rsidRPr="004043D3">
        <w:t xml:space="preserve">Проведены работы по программе «Формирование современной городской среды в МО «Красногорское» на 2018 – 2022 годы» </w:t>
      </w:r>
      <w:r w:rsidR="00E3313F">
        <w:t xml:space="preserve">по благоустройству </w:t>
      </w:r>
      <w:r w:rsidRPr="004043D3">
        <w:t>на обществ</w:t>
      </w:r>
      <w:r>
        <w:t>енной территории</w:t>
      </w:r>
      <w:r w:rsidRPr="004043D3">
        <w:t xml:space="preserve"> от ул. Советская до с</w:t>
      </w:r>
      <w:r w:rsidR="00E3313F">
        <w:t>толовой» на общую сумму 3917,5</w:t>
      </w:r>
      <w:r w:rsidRPr="004043D3">
        <w:t xml:space="preserve"> тыс. руб. и на дворовой территории по адресу: с. Красногорское, ул. Ленина, д.71 на общую сумму 189,807 тыс. руб.</w:t>
      </w:r>
    </w:p>
    <w:p w:rsidR="009F7EBF" w:rsidRDefault="009F7EBF" w:rsidP="007F6D4F">
      <w:pPr>
        <w:jc w:val="both"/>
      </w:pPr>
    </w:p>
    <w:p w:rsidR="000F7289" w:rsidRDefault="000F7289" w:rsidP="000F7289">
      <w:pPr>
        <w:jc w:val="both"/>
        <w:rPr>
          <w:b/>
        </w:rPr>
      </w:pPr>
      <w:r w:rsidRPr="000B54B5">
        <w:t>Показатель № 6.</w:t>
      </w:r>
      <w:r>
        <w:t xml:space="preserve"> </w:t>
      </w:r>
      <w:r>
        <w:rPr>
          <w:b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793440" w:rsidRDefault="00793440" w:rsidP="000F7289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82,71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81,53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78,8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77,18</w:t>
            </w:r>
          </w:p>
        </w:tc>
        <w:tc>
          <w:tcPr>
            <w:tcW w:w="1107" w:type="dxa"/>
          </w:tcPr>
          <w:p w:rsidR="00667E04" w:rsidRDefault="0028162B" w:rsidP="00443D78">
            <w:pPr>
              <w:jc w:val="center"/>
            </w:pPr>
            <w:r>
              <w:t>75,89</w:t>
            </w:r>
          </w:p>
        </w:tc>
        <w:tc>
          <w:tcPr>
            <w:tcW w:w="1107" w:type="dxa"/>
          </w:tcPr>
          <w:p w:rsidR="00667E04" w:rsidRDefault="000B54B5" w:rsidP="00443D78">
            <w:pPr>
              <w:jc w:val="center"/>
            </w:pPr>
            <w:r>
              <w:t>74,29</w:t>
            </w:r>
          </w:p>
        </w:tc>
        <w:tc>
          <w:tcPr>
            <w:tcW w:w="1108" w:type="dxa"/>
          </w:tcPr>
          <w:p w:rsidR="00667E04" w:rsidRDefault="000B54B5" w:rsidP="00443D78">
            <w:pPr>
              <w:jc w:val="center"/>
            </w:pPr>
            <w:r>
              <w:t>73,35</w:t>
            </w:r>
          </w:p>
        </w:tc>
        <w:tc>
          <w:tcPr>
            <w:tcW w:w="1108" w:type="dxa"/>
          </w:tcPr>
          <w:p w:rsidR="00667E04" w:rsidRDefault="000B54B5" w:rsidP="00443D78">
            <w:pPr>
              <w:jc w:val="center"/>
            </w:pPr>
            <w:r>
              <w:t>72,41</w:t>
            </w:r>
          </w:p>
        </w:tc>
      </w:tr>
    </w:tbl>
    <w:p w:rsidR="005C3C82" w:rsidRDefault="005C3C82" w:rsidP="000F7289">
      <w:pPr>
        <w:jc w:val="both"/>
        <w:rPr>
          <w:b/>
        </w:rPr>
      </w:pPr>
    </w:p>
    <w:p w:rsidR="000F7289" w:rsidRDefault="000F7289" w:rsidP="000F7289">
      <w:pPr>
        <w:ind w:firstLine="708"/>
        <w:jc w:val="both"/>
      </w:pPr>
      <w: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</w:t>
      </w:r>
      <w:r w:rsidR="00877842">
        <w:t>зования местно</w:t>
      </w:r>
      <w:r w:rsidR="0028162B">
        <w:t>го значения в 2019</w:t>
      </w:r>
      <w:r w:rsidR="00AF68DA">
        <w:t xml:space="preserve"> году составила</w:t>
      </w:r>
      <w:r w:rsidR="0028162B">
        <w:t xml:space="preserve"> 75,89</w:t>
      </w:r>
      <w:r w:rsidR="00A03B0F">
        <w:t xml:space="preserve"> % против</w:t>
      </w:r>
      <w:r w:rsidR="0028162B">
        <w:t xml:space="preserve"> 77</w:t>
      </w:r>
      <w:r w:rsidR="009830AF">
        <w:t>,</w:t>
      </w:r>
      <w:r w:rsidR="0028162B">
        <w:t>1</w:t>
      </w:r>
      <w:r w:rsidR="009830AF">
        <w:t>8</w:t>
      </w:r>
      <w:r w:rsidR="00AF68DA">
        <w:t xml:space="preserve"> </w:t>
      </w:r>
      <w:r w:rsidR="0028162B">
        <w:t>% за 2018</w:t>
      </w:r>
      <w:r w:rsidR="00AF68DA">
        <w:t xml:space="preserve"> год. Улучшение</w:t>
      </w:r>
      <w:r w:rsidR="00D4373C">
        <w:t xml:space="preserve">  показателя</w:t>
      </w:r>
      <w:r w:rsidR="0028162B">
        <w:t xml:space="preserve"> на 1,29</w:t>
      </w:r>
      <w:r w:rsidR="00AF68DA">
        <w:t xml:space="preserve"> процентных пункта</w:t>
      </w:r>
      <w:r w:rsidR="009830AF">
        <w:t xml:space="preserve"> обусловлено</w:t>
      </w:r>
      <w:r>
        <w:t xml:space="preserve"> </w:t>
      </w:r>
      <w:r w:rsidR="0028162B">
        <w:t xml:space="preserve"> изменением протяженности дорог общего пользования местного значения в результате проведения в 2019 году кадастровых работ  с 216 км до 212,4 км и снижением протяженности</w:t>
      </w:r>
      <w:r>
        <w:t xml:space="preserve"> дорог общего</w:t>
      </w:r>
      <w:r w:rsidR="0028162B">
        <w:t xml:space="preserve"> пользования местного значения не отвечающих нормативным требованиям с 166,7 км до 161,2 км.</w:t>
      </w:r>
      <w:r w:rsidR="00CE322A">
        <w:t xml:space="preserve"> </w:t>
      </w:r>
      <w:r>
        <w:t xml:space="preserve">В плановый период доля </w:t>
      </w:r>
      <w:r w:rsidR="00D4373C">
        <w:t xml:space="preserve">протяженности </w:t>
      </w:r>
      <w:proofErr w:type="gramStart"/>
      <w:r w:rsidR="00D4373C">
        <w:t>автомобильных дорог общего пользования местного значения</w:t>
      </w:r>
      <w:r w:rsidR="008057B3">
        <w:t>, не отвечающих нормативным требованиям</w:t>
      </w:r>
      <w:r w:rsidR="00D4373C">
        <w:t xml:space="preserve"> </w:t>
      </w:r>
      <w:r w:rsidR="000B54B5">
        <w:t>снизится</w:t>
      </w:r>
      <w:proofErr w:type="gramEnd"/>
      <w:r w:rsidR="000B54B5">
        <w:t xml:space="preserve"> до 72,41 процента к концу 2022</w:t>
      </w:r>
      <w:r w:rsidR="00F927B7">
        <w:t xml:space="preserve"> года за счет </w:t>
      </w:r>
      <w:r w:rsidR="000B54B5">
        <w:t xml:space="preserve"> ежегодного ремонта</w:t>
      </w:r>
      <w:r w:rsidR="00CE322A">
        <w:t xml:space="preserve"> дорог</w:t>
      </w:r>
      <w:r w:rsidR="000B54B5">
        <w:t xml:space="preserve"> (3,4 км в 2020 году и по 2 км в два последующих года)</w:t>
      </w:r>
      <w:r w:rsidR="00CE322A">
        <w:t>.</w:t>
      </w:r>
    </w:p>
    <w:p w:rsidR="007F6D4F" w:rsidRDefault="007F6D4F" w:rsidP="007F6D4F">
      <w:pPr>
        <w:jc w:val="both"/>
      </w:pPr>
    </w:p>
    <w:p w:rsidR="007F6D4F" w:rsidRDefault="007F6D4F" w:rsidP="007F6D4F">
      <w:pPr>
        <w:jc w:val="both"/>
        <w:rPr>
          <w:b/>
        </w:rPr>
      </w:pPr>
      <w:r w:rsidRPr="004F1CE8">
        <w:t>Показатель № 7.</w:t>
      </w:r>
      <w:r>
        <w:t xml:space="preserve"> </w:t>
      </w:r>
      <w:r>
        <w:rPr>
          <w:b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района):</w:t>
      </w:r>
    </w:p>
    <w:p w:rsidR="00793440" w:rsidRDefault="00793440" w:rsidP="007F6D4F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12,83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12,72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11,87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11,54</w:t>
            </w:r>
          </w:p>
        </w:tc>
        <w:tc>
          <w:tcPr>
            <w:tcW w:w="1107" w:type="dxa"/>
          </w:tcPr>
          <w:p w:rsidR="00667E04" w:rsidRDefault="000B54B5" w:rsidP="00443D78">
            <w:pPr>
              <w:jc w:val="center"/>
            </w:pPr>
            <w:r>
              <w:t>9,79</w:t>
            </w:r>
          </w:p>
        </w:tc>
        <w:tc>
          <w:tcPr>
            <w:tcW w:w="1107" w:type="dxa"/>
          </w:tcPr>
          <w:p w:rsidR="00667E04" w:rsidRDefault="000B54B5" w:rsidP="00443D78">
            <w:pPr>
              <w:jc w:val="center"/>
            </w:pPr>
            <w:r>
              <w:t>9,26</w:t>
            </w:r>
          </w:p>
        </w:tc>
        <w:tc>
          <w:tcPr>
            <w:tcW w:w="1108" w:type="dxa"/>
          </w:tcPr>
          <w:p w:rsidR="00667E04" w:rsidRDefault="000B54B5" w:rsidP="00443D78">
            <w:pPr>
              <w:jc w:val="center"/>
            </w:pPr>
            <w:r>
              <w:t>8,68</w:t>
            </w:r>
          </w:p>
        </w:tc>
        <w:tc>
          <w:tcPr>
            <w:tcW w:w="1108" w:type="dxa"/>
          </w:tcPr>
          <w:p w:rsidR="00667E04" w:rsidRDefault="000B54B5" w:rsidP="00443D78">
            <w:pPr>
              <w:jc w:val="center"/>
            </w:pPr>
            <w:r>
              <w:t>8,09</w:t>
            </w:r>
          </w:p>
        </w:tc>
      </w:tr>
    </w:tbl>
    <w:p w:rsidR="005C3C82" w:rsidRDefault="005C3C82" w:rsidP="007F6D4F">
      <w:pPr>
        <w:jc w:val="both"/>
        <w:rPr>
          <w:b/>
        </w:rPr>
      </w:pPr>
    </w:p>
    <w:p w:rsidR="007F6D4F" w:rsidRDefault="007F6D4F" w:rsidP="007F6D4F">
      <w:pPr>
        <w:jc w:val="both"/>
      </w:pPr>
      <w:r>
        <w:tab/>
        <w:t xml:space="preserve">  Из </w:t>
      </w:r>
      <w:r w:rsidR="004028DD">
        <w:t>62</w:t>
      </w:r>
      <w:r w:rsidR="00A922A8">
        <w:t xml:space="preserve">  населенных пунктов района</w:t>
      </w:r>
      <w:r w:rsidR="00F927B7">
        <w:t>, в которых проживают жители,</w:t>
      </w:r>
      <w:r w:rsidR="00A922A8">
        <w:t xml:space="preserve"> 48</w:t>
      </w:r>
      <w:r w:rsidR="00924B06">
        <w:t xml:space="preserve"> населенных пунктов</w:t>
      </w:r>
      <w:r>
        <w:t xml:space="preserve"> не имеют регулярного автобусного сообщения с административным центром – с. Красногорское. </w:t>
      </w:r>
      <w:r w:rsidR="00A922A8">
        <w:t>Из</w:t>
      </w:r>
      <w:r w:rsidR="004028DD">
        <w:t xml:space="preserve"> 8644</w:t>
      </w:r>
      <w:r w:rsidR="00A922A8">
        <w:t xml:space="preserve"> человек среднесписочн</w:t>
      </w:r>
      <w:r w:rsidR="004028DD">
        <w:t>ой численности населения за 2019</w:t>
      </w:r>
      <w:r w:rsidR="000B54B5">
        <w:t xml:space="preserve"> год 7798</w:t>
      </w:r>
      <w:r w:rsidR="00A922A8">
        <w:t xml:space="preserve"> человек пользуются регуляр</w:t>
      </w:r>
      <w:r w:rsidR="00F927B7">
        <w:t xml:space="preserve">ным автобусным </w:t>
      </w:r>
      <w:r w:rsidR="000B54B5">
        <w:t>сообщением, и 84</w:t>
      </w:r>
      <w:r w:rsidR="00793440">
        <w:t>6</w:t>
      </w:r>
      <w:r w:rsidR="00F927B7">
        <w:t xml:space="preserve"> человек</w:t>
      </w:r>
      <w:r w:rsidR="00CE322A">
        <w:t>а</w:t>
      </w:r>
      <w:r w:rsidR="00A922A8">
        <w:t xml:space="preserve"> его не имеют. </w:t>
      </w:r>
      <w:r>
        <w:t>Из-за небольшой численности проживающих в данных населенных пунктах,</w:t>
      </w:r>
      <w:r w:rsidR="00CE322A">
        <w:t xml:space="preserve"> постоянного оттока населения,</w:t>
      </w:r>
      <w:r>
        <w:t xml:space="preserve"> доля населения, проживающего в населенных пунктах, не имеющих регулярного автобусного сообщения с административным центром рай</w:t>
      </w:r>
      <w:r w:rsidR="00793440">
        <w:t>она</w:t>
      </w:r>
      <w:r w:rsidR="000B54B5">
        <w:t>,</w:t>
      </w:r>
      <w:r w:rsidR="00793440">
        <w:t xml:space="preserve"> составляла </w:t>
      </w:r>
      <w:r w:rsidR="000B54B5">
        <w:t>в 2019</w:t>
      </w:r>
      <w:r w:rsidR="00793440">
        <w:t xml:space="preserve"> </w:t>
      </w:r>
      <w:r w:rsidR="000B54B5">
        <w:t>году 9,79</w:t>
      </w:r>
      <w:r w:rsidR="004028DD">
        <w:t xml:space="preserve"> процента против 11,54 % в 2018</w:t>
      </w:r>
      <w:r w:rsidR="00CE322A">
        <w:t xml:space="preserve"> году</w:t>
      </w:r>
      <w:r w:rsidR="00A922A8">
        <w:t xml:space="preserve">. </w:t>
      </w:r>
      <w:r w:rsidR="00F927B7">
        <w:t xml:space="preserve">Однако и там, где имеются </w:t>
      </w:r>
      <w:r w:rsidR="000B54B5">
        <w:t xml:space="preserve">внутрирайонные </w:t>
      </w:r>
      <w:r w:rsidR="00F927B7">
        <w:t>регулярные автобусные маршруты перевозки пассажиров, они сокращены до минимума в связи с убыточностью данных рейсов</w:t>
      </w:r>
      <w:r w:rsidR="000B54B5">
        <w:t>,</w:t>
      </w:r>
      <w:r w:rsidR="004C69A3">
        <w:t xml:space="preserve"> перевозки осуществляются только 1-2 раза в неделю, что вызывает недовольство населения.</w:t>
      </w:r>
      <w:r w:rsidR="00F927B7">
        <w:t xml:space="preserve"> </w:t>
      </w:r>
      <w:r w:rsidR="000B54B5">
        <w:t xml:space="preserve"> </w:t>
      </w:r>
      <w:proofErr w:type="gramStart"/>
      <w:r w:rsidR="000B54B5">
        <w:t xml:space="preserve">В 3 последующих года доля населения, не имеющего </w:t>
      </w:r>
      <w:r w:rsidR="000B54B5">
        <w:lastRenderedPageBreak/>
        <w:t>регулярного автобусного сообщения с административным центром будет сокращаться в результате уменьшения численности проживающего в таких населенных пунктах населения.</w:t>
      </w:r>
      <w:proofErr w:type="gramEnd"/>
    </w:p>
    <w:p w:rsidR="00896846" w:rsidRDefault="00896846" w:rsidP="002003EF">
      <w:pPr>
        <w:jc w:val="both"/>
      </w:pPr>
    </w:p>
    <w:p w:rsidR="00896846" w:rsidRDefault="00896846" w:rsidP="00896846">
      <w:pPr>
        <w:jc w:val="center"/>
        <w:rPr>
          <w:b/>
        </w:rPr>
      </w:pPr>
    </w:p>
    <w:p w:rsidR="00896846" w:rsidRPr="000A41BC" w:rsidRDefault="00896846" w:rsidP="00662608">
      <w:pPr>
        <w:jc w:val="center"/>
        <w:rPr>
          <w:b/>
        </w:rPr>
      </w:pPr>
      <w:r w:rsidRPr="000A41BC">
        <w:rPr>
          <w:b/>
        </w:rPr>
        <w:t xml:space="preserve"> ДОХОДЫ НАСЕЛЕНИЯ</w:t>
      </w:r>
    </w:p>
    <w:p w:rsidR="00896846" w:rsidRDefault="00896846" w:rsidP="00C32D2D">
      <w:pPr>
        <w:jc w:val="both"/>
      </w:pPr>
      <w:r>
        <w:tab/>
      </w:r>
      <w:r w:rsidR="00C32D2D" w:rsidRPr="000F2E41">
        <w:t>Вс</w:t>
      </w:r>
      <w:r w:rsidR="00C32D2D">
        <w:t>е доходы населения, включая заработну</w:t>
      </w:r>
      <w:r w:rsidR="00002AD9">
        <w:t>ю плату, пенсии, пособия за 2019</w:t>
      </w:r>
      <w:r w:rsidR="00B44741">
        <w:t xml:space="preserve"> год составили по району </w:t>
      </w:r>
      <w:r w:rsidR="00002AD9">
        <w:t>1395 млн. руб. или 13325</w:t>
      </w:r>
      <w:r w:rsidR="00B44741">
        <w:t xml:space="preserve"> рублей</w:t>
      </w:r>
      <w:r w:rsidR="00C32D2D">
        <w:t xml:space="preserve"> в среднем на 1 человека в месяц (без доходов работающих за пределами района)</w:t>
      </w:r>
      <w:r w:rsidR="00002AD9">
        <w:t xml:space="preserve"> (12600 рублей в 2018</w:t>
      </w:r>
      <w:r w:rsidR="00B44741">
        <w:t xml:space="preserve"> году)</w:t>
      </w:r>
      <w:r w:rsidR="00C32D2D">
        <w:t>. С учетом инфляции доход</w:t>
      </w:r>
      <w:r w:rsidR="00B44741">
        <w:t>ы на</w:t>
      </w:r>
      <w:r w:rsidR="00361552">
        <w:t>селения выросли на 1</w:t>
      </w:r>
      <w:r w:rsidR="004028DD">
        <w:t>,7</w:t>
      </w:r>
      <w:r w:rsidR="00A03B0F">
        <w:t>%</w:t>
      </w:r>
      <w:r w:rsidR="004C69A3">
        <w:t>.</w:t>
      </w:r>
      <w:r w:rsidR="00FE01D4">
        <w:t xml:space="preserve"> Средний размер пенсии</w:t>
      </w:r>
      <w:r w:rsidR="00361552">
        <w:t xml:space="preserve"> со</w:t>
      </w:r>
      <w:r w:rsidR="004028DD">
        <w:t>ставил 13419 рублей против 11808 рублей в 2018</w:t>
      </w:r>
      <w:r w:rsidR="00FE01D4">
        <w:t xml:space="preserve"> году</w:t>
      </w:r>
      <w:r w:rsidR="004028DD">
        <w:t xml:space="preserve"> с ростом на 13,5</w:t>
      </w:r>
      <w:r w:rsidR="00A03B0F">
        <w:t xml:space="preserve"> </w:t>
      </w:r>
      <w:r w:rsidR="00B44741">
        <w:t>%</w:t>
      </w:r>
      <w:r w:rsidR="00FE01D4">
        <w:t>.</w:t>
      </w:r>
    </w:p>
    <w:p w:rsidR="00FE01D4" w:rsidRDefault="00FE01D4" w:rsidP="00C32D2D">
      <w:pPr>
        <w:jc w:val="both"/>
      </w:pPr>
      <w:r>
        <w:t>По прежнему, наиболее низкой заработная плата оста</w:t>
      </w:r>
      <w:r w:rsidR="00B44741">
        <w:t>е</w:t>
      </w:r>
      <w:r w:rsidR="004028DD">
        <w:t>тся в сельском хозяйстве – 18386</w:t>
      </w:r>
      <w:r>
        <w:t xml:space="preserve"> рублей</w:t>
      </w:r>
      <w:r w:rsidR="004C69A3">
        <w:t xml:space="preserve"> с ростом на </w:t>
      </w:r>
      <w:r w:rsidR="004028DD">
        <w:t>22</w:t>
      </w:r>
      <w:r w:rsidR="004C69A3">
        <w:t xml:space="preserve"> </w:t>
      </w:r>
      <w:r w:rsidR="00B44741">
        <w:t>% к прошлому году</w:t>
      </w:r>
      <w:r>
        <w:t>. В торговле,</w:t>
      </w:r>
      <w:r w:rsidR="00B44741">
        <w:t xml:space="preserve"> образовании, здравоохранении, </w:t>
      </w:r>
      <w:r>
        <w:t>заработная плата примерно од</w:t>
      </w:r>
      <w:r w:rsidR="004028DD">
        <w:t>инакова и составляет 22,5</w:t>
      </w:r>
      <w:r>
        <w:t xml:space="preserve"> тыс. руб. в месяц. Выше среднего по району уровень заработной платы в финансовой сфере, управлении, нефтедобыче, отраслях электроэнергетики</w:t>
      </w:r>
      <w:r w:rsidR="00A03B0F">
        <w:t>, культуре</w:t>
      </w:r>
      <w:r>
        <w:t>.</w:t>
      </w:r>
    </w:p>
    <w:p w:rsidR="00FE01D4" w:rsidRDefault="00FE01D4" w:rsidP="00896846">
      <w:pPr>
        <w:jc w:val="both"/>
      </w:pPr>
    </w:p>
    <w:p w:rsidR="00896846" w:rsidRDefault="00FE01D4" w:rsidP="00896846">
      <w:pPr>
        <w:jc w:val="both"/>
        <w:rPr>
          <w:b/>
        </w:rPr>
      </w:pPr>
      <w:r w:rsidRPr="000F2E41">
        <w:t>По</w:t>
      </w:r>
      <w:r>
        <w:t>казатель № 8</w:t>
      </w:r>
      <w:r w:rsidR="00896846">
        <w:t>а.</w:t>
      </w:r>
      <w:r w:rsidR="00896846">
        <w:rPr>
          <w:b/>
        </w:rPr>
        <w:t xml:space="preserve"> Среднемесячная номинальная начисленная заработная плата работников крупных и средних предприятий и некоммерческих организаций городского округа (муниципального района):</w:t>
      </w:r>
    </w:p>
    <w:p w:rsidR="00361552" w:rsidRDefault="00361552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18859,5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19594,8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22076,7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23938,9</w:t>
            </w:r>
          </w:p>
        </w:tc>
        <w:tc>
          <w:tcPr>
            <w:tcW w:w="1107" w:type="dxa"/>
          </w:tcPr>
          <w:p w:rsidR="00667E04" w:rsidRDefault="00002AD9" w:rsidP="00443D78">
            <w:pPr>
              <w:jc w:val="center"/>
            </w:pPr>
            <w:r>
              <w:t>24917,6</w:t>
            </w:r>
          </w:p>
        </w:tc>
        <w:tc>
          <w:tcPr>
            <w:tcW w:w="1107" w:type="dxa"/>
          </w:tcPr>
          <w:p w:rsidR="00667E04" w:rsidRDefault="00002AD9" w:rsidP="00443D78">
            <w:pPr>
              <w:jc w:val="center"/>
            </w:pPr>
            <w:r>
              <w:t>26288,1</w:t>
            </w:r>
          </w:p>
        </w:tc>
        <w:tc>
          <w:tcPr>
            <w:tcW w:w="1108" w:type="dxa"/>
          </w:tcPr>
          <w:p w:rsidR="00667E04" w:rsidRDefault="00002AD9" w:rsidP="00443D78">
            <w:pPr>
              <w:jc w:val="center"/>
            </w:pPr>
            <w:r>
              <w:t>28049,4</w:t>
            </w:r>
          </w:p>
        </w:tc>
        <w:tc>
          <w:tcPr>
            <w:tcW w:w="1108" w:type="dxa"/>
          </w:tcPr>
          <w:p w:rsidR="00667E04" w:rsidRDefault="00002AD9" w:rsidP="00443D78">
            <w:pPr>
              <w:jc w:val="center"/>
            </w:pPr>
            <w:r>
              <w:t>29956,7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B05D67" w:rsidRDefault="00896846" w:rsidP="00896846">
      <w:pPr>
        <w:jc w:val="both"/>
      </w:pPr>
      <w:r>
        <w:tab/>
      </w:r>
      <w:r w:rsidR="00002AD9" w:rsidRPr="00002AD9">
        <w:t>В 2019 году среднемесячная номинальная начисленная заработная плата работников крупных и средних организаций по Красногорскому району составила 24917,6 рублей с ростом к уровню 2018 года на 4,09 % в результате повышения МРОТ в 2019 году с 1января на 7,5%, повышения заработной платы в бюджетной сфере с 1 сентября, роста заработной платы во внебюджетном секторе. В прогнозируемом периоде 2020-2022 годов темпы роста среднемесячной заработной платы составят соответственно  105,5; 106,7 и 106,8 % в соответствии с прогнозом СЭР муниципального образования.</w:t>
      </w:r>
    </w:p>
    <w:p w:rsidR="00002AD9" w:rsidRPr="00002AD9" w:rsidRDefault="00002AD9" w:rsidP="00896846">
      <w:pPr>
        <w:jc w:val="both"/>
      </w:pPr>
    </w:p>
    <w:p w:rsidR="00896846" w:rsidRDefault="003E6A88" w:rsidP="00896846">
      <w:pPr>
        <w:jc w:val="both"/>
        <w:rPr>
          <w:b/>
        </w:rPr>
      </w:pPr>
      <w:r w:rsidRPr="00CC5D7C">
        <w:t>Показатель № 8</w:t>
      </w:r>
      <w:r w:rsidR="00896846" w:rsidRPr="00CC5D7C">
        <w:t>б</w:t>
      </w:r>
      <w:r w:rsidR="00896846" w:rsidRPr="00CC5D7C">
        <w:rPr>
          <w:b/>
        </w:rPr>
        <w:t>.</w:t>
      </w:r>
      <w:r w:rsidR="00896846">
        <w:rPr>
          <w:b/>
        </w:rPr>
        <w:t xml:space="preserve"> Среднемесячная номинальная начисленная заработная плата работников муниципальных  дошкольных образовательных учреждений:</w:t>
      </w:r>
    </w:p>
    <w:p w:rsidR="005F2F21" w:rsidRDefault="005F2F21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16"/>
        <w:gridCol w:w="1116"/>
        <w:gridCol w:w="1116"/>
        <w:gridCol w:w="1116"/>
      </w:tblGrid>
      <w:tr w:rsidR="00BC651A" w:rsidTr="00BC651A">
        <w:tc>
          <w:tcPr>
            <w:tcW w:w="5544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48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667E04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667E04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14375,1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14736,5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15459,8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18627,4</w:t>
            </w:r>
          </w:p>
        </w:tc>
        <w:tc>
          <w:tcPr>
            <w:tcW w:w="1116" w:type="dxa"/>
          </w:tcPr>
          <w:p w:rsidR="00667E04" w:rsidRDefault="00773F20" w:rsidP="00443D78">
            <w:pPr>
              <w:jc w:val="center"/>
            </w:pPr>
            <w:r>
              <w:t>19728,0</w:t>
            </w:r>
          </w:p>
        </w:tc>
        <w:tc>
          <w:tcPr>
            <w:tcW w:w="1116" w:type="dxa"/>
          </w:tcPr>
          <w:p w:rsidR="00667E04" w:rsidRDefault="00773F20" w:rsidP="00443D78">
            <w:pPr>
              <w:jc w:val="center"/>
            </w:pPr>
            <w:r>
              <w:t>20872,22</w:t>
            </w:r>
          </w:p>
        </w:tc>
        <w:tc>
          <w:tcPr>
            <w:tcW w:w="1116" w:type="dxa"/>
          </w:tcPr>
          <w:p w:rsidR="00667E04" w:rsidRDefault="00773F20" w:rsidP="00443D78">
            <w:pPr>
              <w:jc w:val="center"/>
            </w:pPr>
            <w:r>
              <w:t>21978,44</w:t>
            </w:r>
          </w:p>
        </w:tc>
        <w:tc>
          <w:tcPr>
            <w:tcW w:w="1116" w:type="dxa"/>
          </w:tcPr>
          <w:p w:rsidR="00667E04" w:rsidRDefault="00773F20" w:rsidP="00443D78">
            <w:pPr>
              <w:jc w:val="center"/>
            </w:pPr>
            <w:r>
              <w:t>23187,25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361552" w:rsidRDefault="00896846" w:rsidP="00361552">
      <w:pPr>
        <w:ind w:firstLine="708"/>
        <w:jc w:val="both"/>
      </w:pPr>
      <w:r>
        <w:t>Среднемесячная номинальная начисленная заработная плата работников муниципальных дошкольных образователь</w:t>
      </w:r>
      <w:r w:rsidR="00326CDD">
        <w:t>ных учреждений по району за 201</w:t>
      </w:r>
      <w:r w:rsidR="00773F20">
        <w:t>9</w:t>
      </w:r>
      <w:r w:rsidR="00B85E57">
        <w:t xml:space="preserve"> год составила </w:t>
      </w:r>
      <w:r w:rsidR="00773F20">
        <w:t>19728,0</w:t>
      </w:r>
      <w:r w:rsidR="003E6A88">
        <w:t xml:space="preserve"> рублей</w:t>
      </w:r>
      <w:r>
        <w:t xml:space="preserve"> с рос</w:t>
      </w:r>
      <w:r w:rsidR="00773F20">
        <w:t>том к уровню 2018 года на 5,9</w:t>
      </w:r>
      <w:r>
        <w:t xml:space="preserve"> процента. Рост заработной платы </w:t>
      </w:r>
      <w:r w:rsidR="00B05D67">
        <w:t>произошел в связи с увеличением минималь</w:t>
      </w:r>
      <w:r w:rsidR="00773F20">
        <w:t xml:space="preserve">ного </w:t>
      </w:r>
      <w:proofErr w:type="gramStart"/>
      <w:r w:rsidR="00773F20">
        <w:t>размера оплаты труда</w:t>
      </w:r>
      <w:proofErr w:type="gramEnd"/>
      <w:r w:rsidR="00773F20">
        <w:t xml:space="preserve">,  </w:t>
      </w:r>
      <w:r w:rsidR="00CC5D7C">
        <w:t>выполнения</w:t>
      </w:r>
      <w:r w:rsidR="00773F20">
        <w:t xml:space="preserve"> целевых показателей «дорожной карты» в части оплаты труда работников дошкольных образовательных учреждений</w:t>
      </w:r>
      <w:r w:rsidR="00361552">
        <w:t>. В три</w:t>
      </w:r>
      <w:r w:rsidR="00B05D67">
        <w:t xml:space="preserve"> последующих года</w:t>
      </w:r>
      <w:r w:rsidR="003E6A88">
        <w:t xml:space="preserve"> заработная плата работников ДОУ будет увеличиваться в соо</w:t>
      </w:r>
      <w:r w:rsidR="00CC5D7C">
        <w:t>тветствии с  индексацией заработной платы</w:t>
      </w:r>
      <w:r w:rsidR="00361552">
        <w:t>.</w:t>
      </w:r>
    </w:p>
    <w:p w:rsidR="00896846" w:rsidRDefault="003E6A88" w:rsidP="00896846">
      <w:pPr>
        <w:ind w:firstLine="708"/>
        <w:jc w:val="both"/>
      </w:pPr>
      <w:r>
        <w:t>.</w:t>
      </w:r>
      <w:r w:rsidR="00896846">
        <w:tab/>
      </w:r>
    </w:p>
    <w:p w:rsidR="00896846" w:rsidRDefault="00896846" w:rsidP="00896846">
      <w:pPr>
        <w:jc w:val="both"/>
      </w:pPr>
    </w:p>
    <w:p w:rsidR="00896846" w:rsidRDefault="003E6A88" w:rsidP="00896846">
      <w:pPr>
        <w:jc w:val="both"/>
        <w:rPr>
          <w:b/>
        </w:rPr>
      </w:pPr>
      <w:r w:rsidRPr="00CC5D7C">
        <w:t>Показатель № 8</w:t>
      </w:r>
      <w:r w:rsidR="00896846" w:rsidRPr="00CC5D7C">
        <w:t>в.</w:t>
      </w:r>
      <w:r w:rsidR="00896846">
        <w:rPr>
          <w:b/>
        </w:rPr>
        <w:t xml:space="preserve"> Среднемесячная номинальная начисленная заработная плата муниципальных общеобразовательных учреждений:</w:t>
      </w:r>
    </w:p>
    <w:p w:rsidR="005F2F21" w:rsidRDefault="005F2F21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16"/>
        <w:gridCol w:w="1116"/>
        <w:gridCol w:w="1116"/>
        <w:gridCol w:w="1116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31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667E04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667E04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16518,4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17556,9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18720,2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21539,6</w:t>
            </w:r>
          </w:p>
        </w:tc>
        <w:tc>
          <w:tcPr>
            <w:tcW w:w="1107" w:type="dxa"/>
          </w:tcPr>
          <w:p w:rsidR="00667E04" w:rsidRDefault="00CC5D7C" w:rsidP="00443D78">
            <w:pPr>
              <w:jc w:val="center"/>
            </w:pPr>
            <w:r>
              <w:t>23570,20</w:t>
            </w:r>
          </w:p>
        </w:tc>
        <w:tc>
          <w:tcPr>
            <w:tcW w:w="1107" w:type="dxa"/>
          </w:tcPr>
          <w:p w:rsidR="00667E04" w:rsidRDefault="00CC5D7C" w:rsidP="00443D78">
            <w:pPr>
              <w:jc w:val="center"/>
            </w:pPr>
            <w:r>
              <w:t>24937,27</w:t>
            </w:r>
          </w:p>
        </w:tc>
        <w:tc>
          <w:tcPr>
            <w:tcW w:w="1108" w:type="dxa"/>
          </w:tcPr>
          <w:p w:rsidR="00667E04" w:rsidRDefault="00CC5D7C" w:rsidP="00443D78">
            <w:pPr>
              <w:jc w:val="center"/>
            </w:pPr>
            <w:r>
              <w:t>26358,69</w:t>
            </w:r>
          </w:p>
        </w:tc>
        <w:tc>
          <w:tcPr>
            <w:tcW w:w="1116" w:type="dxa"/>
          </w:tcPr>
          <w:p w:rsidR="00667E04" w:rsidRDefault="00CC5D7C" w:rsidP="00443D78">
            <w:pPr>
              <w:jc w:val="center"/>
            </w:pPr>
            <w:r>
              <w:t>27913,85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Pr="005F2F21" w:rsidRDefault="00896846" w:rsidP="005F2F21">
      <w:pPr>
        <w:ind w:firstLine="708"/>
        <w:jc w:val="both"/>
      </w:pPr>
      <w:r>
        <w:lastRenderedPageBreak/>
        <w:t>Среднемесячная номинальная начисленная заработная плата муниципальных общеобразователь</w:t>
      </w:r>
      <w:r w:rsidR="00B85E57">
        <w:t>ных у</w:t>
      </w:r>
      <w:r w:rsidR="00CC5D7C">
        <w:t>чреждений по району за 2019 год составила 23570,20  рублей с ростом к уровню 2018 года на 9,4</w:t>
      </w:r>
      <w:r>
        <w:t xml:space="preserve"> процента. Рост заработной платы </w:t>
      </w:r>
      <w:r w:rsidR="00B05D67">
        <w:t>связан с увеличен</w:t>
      </w:r>
      <w:r w:rsidR="00CC5D7C">
        <w:t xml:space="preserve">ием минимального </w:t>
      </w:r>
      <w:proofErr w:type="gramStart"/>
      <w:r w:rsidR="00CC5D7C">
        <w:t>размера оплаты труда</w:t>
      </w:r>
      <w:proofErr w:type="gramEnd"/>
      <w:r w:rsidR="00CC5D7C">
        <w:t>, выполнения целевых показателей «дорожной карты» в части оплаты труда педагогических работников</w:t>
      </w:r>
      <w:r w:rsidR="002D55D0">
        <w:t xml:space="preserve">. </w:t>
      </w:r>
      <w:r w:rsidR="005F2F21">
        <w:t>В три</w:t>
      </w:r>
      <w:r w:rsidR="00275B6D">
        <w:t xml:space="preserve"> последующих года заработная плата работников муниципальных общеобразовательных учреждений будет увеличиваться в соо</w:t>
      </w:r>
      <w:r w:rsidR="00CC5D7C">
        <w:t>тветствии с индексацией заработной платы</w:t>
      </w:r>
      <w:r w:rsidR="005F2F21">
        <w:t>.</w:t>
      </w:r>
    </w:p>
    <w:p w:rsidR="00896846" w:rsidRDefault="00896846" w:rsidP="00896846">
      <w:pPr>
        <w:jc w:val="both"/>
        <w:rPr>
          <w:b/>
        </w:rPr>
      </w:pPr>
    </w:p>
    <w:p w:rsidR="00896846" w:rsidRDefault="002D55D0" w:rsidP="00896846">
      <w:pPr>
        <w:jc w:val="both"/>
        <w:rPr>
          <w:b/>
        </w:rPr>
      </w:pPr>
      <w:r w:rsidRPr="00CC5D7C">
        <w:t>Показатель № 8г</w:t>
      </w:r>
      <w:r w:rsidR="00896846" w:rsidRPr="00CC5D7C">
        <w:t>.</w:t>
      </w:r>
      <w:r w:rsidR="00896846">
        <w:rPr>
          <w:b/>
        </w:rPr>
        <w:t xml:space="preserve"> Среднемесячная номинальная начисленная заработная плата учителей муниципальных общеобразовательных учреждений:</w:t>
      </w:r>
    </w:p>
    <w:p w:rsidR="00811D73" w:rsidRDefault="00811D7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6"/>
        <w:gridCol w:w="1116"/>
        <w:gridCol w:w="1107"/>
        <w:gridCol w:w="1116"/>
        <w:gridCol w:w="1116"/>
        <w:gridCol w:w="1116"/>
        <w:gridCol w:w="1116"/>
        <w:gridCol w:w="1116"/>
      </w:tblGrid>
      <w:tr w:rsidR="00BC651A" w:rsidTr="00BC651A">
        <w:tc>
          <w:tcPr>
            <w:tcW w:w="5571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40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667E04">
        <w:tc>
          <w:tcPr>
            <w:tcW w:w="1116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16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16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16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667E04">
        <w:tc>
          <w:tcPr>
            <w:tcW w:w="1116" w:type="dxa"/>
          </w:tcPr>
          <w:p w:rsidR="00667E04" w:rsidRDefault="00667E04" w:rsidP="00443D78">
            <w:pPr>
              <w:jc w:val="both"/>
            </w:pPr>
            <w:r>
              <w:t>23862,99</w:t>
            </w:r>
          </w:p>
        </w:tc>
        <w:tc>
          <w:tcPr>
            <w:tcW w:w="1116" w:type="dxa"/>
          </w:tcPr>
          <w:p w:rsidR="00667E04" w:rsidRDefault="00667E04" w:rsidP="00443D78">
            <w:pPr>
              <w:jc w:val="center"/>
            </w:pPr>
            <w:r>
              <w:t>24370,45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25889,5</w:t>
            </w:r>
          </w:p>
        </w:tc>
        <w:tc>
          <w:tcPr>
            <w:tcW w:w="1116" w:type="dxa"/>
          </w:tcPr>
          <w:p w:rsidR="00667E04" w:rsidRDefault="00667E04" w:rsidP="00443D78">
            <w:pPr>
              <w:jc w:val="center"/>
            </w:pPr>
            <w:r>
              <w:t>28194,57</w:t>
            </w:r>
          </w:p>
        </w:tc>
        <w:tc>
          <w:tcPr>
            <w:tcW w:w="1116" w:type="dxa"/>
          </w:tcPr>
          <w:p w:rsidR="00667E04" w:rsidRDefault="00CC5D7C" w:rsidP="00443D78">
            <w:pPr>
              <w:jc w:val="center"/>
            </w:pPr>
            <w:r>
              <w:t>30354,31</w:t>
            </w:r>
          </w:p>
        </w:tc>
        <w:tc>
          <w:tcPr>
            <w:tcW w:w="1116" w:type="dxa"/>
          </w:tcPr>
          <w:p w:rsidR="00667E04" w:rsidRDefault="00CC5D7C" w:rsidP="00443D78">
            <w:pPr>
              <w:jc w:val="center"/>
            </w:pPr>
            <w:r>
              <w:t>32114,65</w:t>
            </w:r>
          </w:p>
        </w:tc>
        <w:tc>
          <w:tcPr>
            <w:tcW w:w="1108" w:type="dxa"/>
          </w:tcPr>
          <w:p w:rsidR="00667E04" w:rsidRDefault="00CC5D7C" w:rsidP="00443D78">
            <w:pPr>
              <w:jc w:val="center"/>
            </w:pPr>
            <w:r>
              <w:t>34298,44</w:t>
            </w:r>
          </w:p>
        </w:tc>
        <w:tc>
          <w:tcPr>
            <w:tcW w:w="1116" w:type="dxa"/>
          </w:tcPr>
          <w:p w:rsidR="00667E04" w:rsidRDefault="00CC5D7C" w:rsidP="00443D78">
            <w:pPr>
              <w:jc w:val="center"/>
            </w:pPr>
            <w:r>
              <w:t>36630,73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896846" w:rsidP="00896846">
      <w:pPr>
        <w:ind w:firstLine="708"/>
        <w:jc w:val="both"/>
      </w:pPr>
      <w:r>
        <w:t xml:space="preserve">Среднемесячная номинальная начисленная заработная плата учителей муниципальных общеобразовательных учреждений </w:t>
      </w:r>
      <w:r w:rsidR="00CC5D7C">
        <w:t>в 2019</w:t>
      </w:r>
      <w:r w:rsidR="002D55D0">
        <w:t xml:space="preserve"> год</w:t>
      </w:r>
      <w:r w:rsidR="00CC5D7C">
        <w:t>у составила 30354,31</w:t>
      </w:r>
      <w:r w:rsidR="00171A0A">
        <w:t xml:space="preserve"> рублей. Произош</w:t>
      </w:r>
      <w:r w:rsidR="00CC5D7C">
        <w:t>ел рост показателя к уровню 2018 года на 7,7</w:t>
      </w:r>
      <w:r w:rsidR="00275B6D">
        <w:t xml:space="preserve"> процент</w:t>
      </w:r>
      <w:r w:rsidR="00171A0A">
        <w:t>а за счет выполнения целевых показателей «</w:t>
      </w:r>
      <w:r w:rsidR="00CC5D7C">
        <w:t>д</w:t>
      </w:r>
      <w:r w:rsidR="00130D6E">
        <w:t>орожн</w:t>
      </w:r>
      <w:r w:rsidR="00C432A9">
        <w:t>ой карт</w:t>
      </w:r>
      <w:r w:rsidR="00130D6E">
        <w:t>ы»</w:t>
      </w:r>
      <w:r w:rsidR="00171A0A">
        <w:t xml:space="preserve"> п</w:t>
      </w:r>
      <w:r w:rsidR="00130D6E">
        <w:t>о</w:t>
      </w:r>
      <w:r w:rsidR="00171A0A">
        <w:t xml:space="preserve"> увеличению заработной платы</w:t>
      </w:r>
      <w:r w:rsidR="00CC5D7C">
        <w:t xml:space="preserve"> педагогическим работникам</w:t>
      </w:r>
      <w:r w:rsidR="00171A0A">
        <w:t>.</w:t>
      </w:r>
      <w:r w:rsidR="00C373F7">
        <w:t xml:space="preserve"> </w:t>
      </w:r>
      <w:r w:rsidR="00F37502">
        <w:t>В три</w:t>
      </w:r>
      <w:r w:rsidR="00275B6D">
        <w:t xml:space="preserve"> последующих года заработная плата учителей будет увеличиваться в </w:t>
      </w:r>
      <w:r w:rsidR="00CC5D7C">
        <w:t>соответствии с индексацией заработной платы</w:t>
      </w:r>
      <w:r w:rsidR="00275B6D">
        <w:t>.</w:t>
      </w:r>
    </w:p>
    <w:p w:rsidR="00896846" w:rsidRDefault="00896846" w:rsidP="00896846">
      <w:pPr>
        <w:jc w:val="both"/>
      </w:pPr>
    </w:p>
    <w:p w:rsidR="00896846" w:rsidRDefault="00914038" w:rsidP="00896846">
      <w:pPr>
        <w:jc w:val="both"/>
        <w:rPr>
          <w:b/>
        </w:rPr>
      </w:pPr>
      <w:r w:rsidRPr="00CC5D7C">
        <w:t>Показатель № 8д</w:t>
      </w:r>
      <w:r w:rsidR="00896846" w:rsidRPr="00CC5D7C">
        <w:t>.</w:t>
      </w:r>
      <w:r w:rsidR="00896846">
        <w:rPr>
          <w:b/>
        </w:rPr>
        <w:t xml:space="preserve"> Среднемесячная номинальная начисленная </w:t>
      </w:r>
      <w:r w:rsidR="002D55D0">
        <w:rPr>
          <w:b/>
        </w:rPr>
        <w:t>заработная плата муниципальных учреждений культуры и искусства</w:t>
      </w:r>
      <w:r w:rsidR="00896846">
        <w:rPr>
          <w:b/>
        </w:rPr>
        <w:t>:</w:t>
      </w:r>
    </w:p>
    <w:p w:rsidR="00811D73" w:rsidRDefault="00811D7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72739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727397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72739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72739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72739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72739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72739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72739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72739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727397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727397">
            <w:pPr>
              <w:jc w:val="both"/>
            </w:pPr>
            <w:r>
              <w:t>14969,0</w:t>
            </w:r>
          </w:p>
        </w:tc>
        <w:tc>
          <w:tcPr>
            <w:tcW w:w="1107" w:type="dxa"/>
          </w:tcPr>
          <w:p w:rsidR="00667E04" w:rsidRDefault="00667E04" w:rsidP="00727397">
            <w:pPr>
              <w:jc w:val="center"/>
            </w:pPr>
            <w:r>
              <w:t>15787,8</w:t>
            </w:r>
          </w:p>
        </w:tc>
        <w:tc>
          <w:tcPr>
            <w:tcW w:w="1107" w:type="dxa"/>
          </w:tcPr>
          <w:p w:rsidR="00667E04" w:rsidRDefault="00667E04" w:rsidP="00727397">
            <w:pPr>
              <w:jc w:val="center"/>
            </w:pPr>
            <w:r>
              <w:t>23874,8</w:t>
            </w:r>
          </w:p>
        </w:tc>
        <w:tc>
          <w:tcPr>
            <w:tcW w:w="1107" w:type="dxa"/>
          </w:tcPr>
          <w:p w:rsidR="00667E04" w:rsidRDefault="00667E04" w:rsidP="00727397">
            <w:pPr>
              <w:jc w:val="center"/>
            </w:pPr>
            <w:r>
              <w:t>28971,6</w:t>
            </w:r>
          </w:p>
        </w:tc>
        <w:tc>
          <w:tcPr>
            <w:tcW w:w="1107" w:type="dxa"/>
          </w:tcPr>
          <w:p w:rsidR="00667E04" w:rsidRDefault="00CC5D7C" w:rsidP="00727397">
            <w:pPr>
              <w:jc w:val="center"/>
            </w:pPr>
            <w:r>
              <w:t>30278,4</w:t>
            </w:r>
          </w:p>
        </w:tc>
        <w:tc>
          <w:tcPr>
            <w:tcW w:w="1107" w:type="dxa"/>
          </w:tcPr>
          <w:p w:rsidR="00667E04" w:rsidRDefault="00CC5D7C" w:rsidP="00727397">
            <w:pPr>
              <w:jc w:val="center"/>
            </w:pPr>
            <w:r>
              <w:t>31000,0</w:t>
            </w:r>
          </w:p>
        </w:tc>
        <w:tc>
          <w:tcPr>
            <w:tcW w:w="1108" w:type="dxa"/>
          </w:tcPr>
          <w:p w:rsidR="00667E04" w:rsidRDefault="00CC5D7C" w:rsidP="00727397">
            <w:pPr>
              <w:jc w:val="center"/>
            </w:pPr>
            <w:r>
              <w:t>33856,0</w:t>
            </w:r>
          </w:p>
        </w:tc>
        <w:tc>
          <w:tcPr>
            <w:tcW w:w="1108" w:type="dxa"/>
          </w:tcPr>
          <w:p w:rsidR="00667E04" w:rsidRDefault="00CC5D7C" w:rsidP="00727397">
            <w:pPr>
              <w:jc w:val="center"/>
            </w:pPr>
            <w:r>
              <w:t>36158,0</w:t>
            </w:r>
          </w:p>
        </w:tc>
      </w:tr>
    </w:tbl>
    <w:p w:rsidR="00AB393C" w:rsidRDefault="00AB393C" w:rsidP="00896846">
      <w:pPr>
        <w:jc w:val="both"/>
        <w:rPr>
          <w:b/>
        </w:rPr>
      </w:pPr>
    </w:p>
    <w:p w:rsidR="00896846" w:rsidRDefault="00896846" w:rsidP="00896846">
      <w:pPr>
        <w:ind w:firstLine="708"/>
        <w:jc w:val="both"/>
      </w:pPr>
      <w:r>
        <w:t xml:space="preserve">Среднемесячная номинальная </w:t>
      </w:r>
      <w:r w:rsidR="002D55D0">
        <w:t>начисленная заработная плата</w:t>
      </w:r>
      <w:r>
        <w:t xml:space="preserve"> муниципа</w:t>
      </w:r>
      <w:r w:rsidR="002D55D0">
        <w:t>льных учреждений к</w:t>
      </w:r>
      <w:r w:rsidR="00275B6D">
        <w:t>ульт</w:t>
      </w:r>
      <w:r w:rsidR="00CC5D7C">
        <w:t>уры и искусства по району в 2019</w:t>
      </w:r>
      <w:r w:rsidR="00C373F7">
        <w:t xml:space="preserve"> год</w:t>
      </w:r>
      <w:r w:rsidR="00CC5D7C">
        <w:t>у составила 30278,4</w:t>
      </w:r>
      <w:r w:rsidR="00275B6D">
        <w:t xml:space="preserve"> рублей с ро</w:t>
      </w:r>
      <w:r w:rsidR="00130D6E">
        <w:t>стом</w:t>
      </w:r>
      <w:r w:rsidR="00CC5D7C">
        <w:t xml:space="preserve"> к уровню 2018 года на 4,5</w:t>
      </w:r>
      <w:r>
        <w:t xml:space="preserve"> процента</w:t>
      </w:r>
      <w:r w:rsidR="00130D6E">
        <w:t xml:space="preserve"> в результате</w:t>
      </w:r>
      <w:r w:rsidR="00811D73">
        <w:t xml:space="preserve"> повышения минимального размера заработной платы,</w:t>
      </w:r>
      <w:r w:rsidR="00130D6E">
        <w:t xml:space="preserve"> выполнения целевых показателей «Дорожной карты» по увеличению заработной платы работников культуры</w:t>
      </w:r>
      <w:r>
        <w:t xml:space="preserve">. </w:t>
      </w:r>
      <w:r w:rsidR="00130D6E">
        <w:t xml:space="preserve">В прогнозируемый период значения показателей среднемесячной номинальной начисленной заработной платы муниципальных учреждений культуры и искусства запланированы </w:t>
      </w:r>
      <w:r w:rsidR="00C373F7">
        <w:t xml:space="preserve"> исходя из прогноза среднемесячного дохода от трудовой деятельности в Удмуртии, представленного Министерством труда и социальной политики УР.</w:t>
      </w:r>
    </w:p>
    <w:p w:rsidR="00896846" w:rsidRDefault="00896846" w:rsidP="00896846">
      <w:pPr>
        <w:jc w:val="both"/>
        <w:rPr>
          <w:b/>
        </w:rPr>
      </w:pPr>
      <w:r>
        <w:tab/>
      </w:r>
    </w:p>
    <w:p w:rsidR="00896846" w:rsidRDefault="00914038" w:rsidP="00896846">
      <w:pPr>
        <w:jc w:val="both"/>
        <w:rPr>
          <w:b/>
        </w:rPr>
      </w:pPr>
      <w:r w:rsidRPr="000F2E41">
        <w:t>По</w:t>
      </w:r>
      <w:r>
        <w:t>казатель № 8е</w:t>
      </w:r>
      <w:r w:rsidR="00896846">
        <w:t>.</w:t>
      </w:r>
      <w:r w:rsidR="00896846">
        <w:rPr>
          <w:b/>
        </w:rPr>
        <w:t xml:space="preserve"> Среднемесячная номинальная начисленная заработная плата</w:t>
      </w:r>
      <w:r>
        <w:rPr>
          <w:b/>
        </w:rPr>
        <w:t xml:space="preserve"> </w:t>
      </w:r>
      <w:r w:rsidR="00896846">
        <w:rPr>
          <w:b/>
        </w:rPr>
        <w:t xml:space="preserve"> муниципа</w:t>
      </w:r>
      <w:r>
        <w:rPr>
          <w:b/>
        </w:rPr>
        <w:t>льных учреждений физической культуры и спорта</w:t>
      </w:r>
      <w:r w:rsidR="00896846">
        <w:rPr>
          <w:b/>
        </w:rPr>
        <w:t>:</w:t>
      </w:r>
    </w:p>
    <w:p w:rsidR="00811D73" w:rsidRDefault="00811D7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24174,4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23556,8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24940,6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26052,9</w:t>
            </w:r>
          </w:p>
        </w:tc>
        <w:tc>
          <w:tcPr>
            <w:tcW w:w="1107" w:type="dxa"/>
          </w:tcPr>
          <w:p w:rsidR="00667E04" w:rsidRDefault="00002AD9" w:rsidP="00443D78">
            <w:pPr>
              <w:jc w:val="center"/>
            </w:pPr>
            <w:r>
              <w:t>27303,9</w:t>
            </w:r>
          </w:p>
        </w:tc>
        <w:tc>
          <w:tcPr>
            <w:tcW w:w="1107" w:type="dxa"/>
          </w:tcPr>
          <w:p w:rsidR="00667E04" w:rsidRDefault="00002AD9" w:rsidP="00443D78">
            <w:pPr>
              <w:jc w:val="center"/>
            </w:pPr>
            <w:r>
              <w:t>28396,1</w:t>
            </w:r>
          </w:p>
        </w:tc>
        <w:tc>
          <w:tcPr>
            <w:tcW w:w="1108" w:type="dxa"/>
          </w:tcPr>
          <w:p w:rsidR="00667E04" w:rsidRDefault="00002AD9" w:rsidP="00443D78">
            <w:pPr>
              <w:jc w:val="center"/>
            </w:pPr>
            <w:r>
              <w:t>29531,9</w:t>
            </w:r>
          </w:p>
        </w:tc>
        <w:tc>
          <w:tcPr>
            <w:tcW w:w="1108" w:type="dxa"/>
          </w:tcPr>
          <w:p w:rsidR="00667E04" w:rsidRDefault="00002AD9" w:rsidP="00443D78">
            <w:pPr>
              <w:jc w:val="center"/>
            </w:pPr>
            <w:r>
              <w:t>30713,2</w:t>
            </w:r>
          </w:p>
        </w:tc>
      </w:tr>
    </w:tbl>
    <w:p w:rsidR="00002AD9" w:rsidRDefault="00002AD9" w:rsidP="00896846">
      <w:pPr>
        <w:jc w:val="both"/>
      </w:pPr>
    </w:p>
    <w:p w:rsidR="005C3C82" w:rsidRPr="00002AD9" w:rsidRDefault="00002AD9" w:rsidP="00002AD9">
      <w:pPr>
        <w:ind w:firstLine="708"/>
        <w:jc w:val="both"/>
        <w:rPr>
          <w:b/>
        </w:rPr>
      </w:pPr>
      <w:r w:rsidRPr="00002AD9">
        <w:t>В 2019 году среднемесячная номинальная начисленная заработная плата работников муниципальных учреждений физической культуры и спорта по Красногорскому району составила 27303,9 рублей с ростом к уровню 2018 года на 4,8 % в результате увеличения МРОТ с 1 января  2019 года, повышения тарифных ставок с 1 сентября 2019 года и выполнения дорожной карты по росту заработной платы. В  плановый период 2020-2022 г. г.   среднемесячная заработная плата планируется  с ростом на 4 процента в год.</w:t>
      </w:r>
    </w:p>
    <w:p w:rsidR="00896846" w:rsidRDefault="00896846" w:rsidP="00896846">
      <w:pPr>
        <w:rPr>
          <w:b/>
        </w:rPr>
      </w:pPr>
    </w:p>
    <w:p w:rsidR="00896846" w:rsidRDefault="002D6BAF" w:rsidP="00896846">
      <w:pPr>
        <w:jc w:val="center"/>
        <w:rPr>
          <w:b/>
        </w:rPr>
      </w:pPr>
      <w:r>
        <w:rPr>
          <w:b/>
          <w:lang w:val="en-US"/>
        </w:rPr>
        <w:t>II</w:t>
      </w:r>
      <w:r w:rsidR="00896846">
        <w:rPr>
          <w:b/>
        </w:rPr>
        <w:t xml:space="preserve">. ДОШКОЛЬНОЕ ОБРАЗОВАНИЕ 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ind w:firstLine="708"/>
        <w:jc w:val="both"/>
      </w:pPr>
      <w:r>
        <w:t>Сеть дошкольного образования детей Красногорск</w:t>
      </w:r>
      <w:r w:rsidR="000A41BC">
        <w:t>ого района представлена семью</w:t>
      </w:r>
      <w:r>
        <w:t xml:space="preserve"> дошкольными </w:t>
      </w:r>
      <w:r w:rsidR="002D6BAF">
        <w:t>образовательными учреждениями,</w:t>
      </w:r>
      <w:r w:rsidR="00D80742">
        <w:t xml:space="preserve"> в том числе 3 дошкольных учреждения </w:t>
      </w:r>
      <w:r w:rsidR="00D80742">
        <w:lastRenderedPageBreak/>
        <w:t xml:space="preserve">находятся в с. Красногорское и 4 малокомплектных детских сада расположены на периферии (д. </w:t>
      </w:r>
      <w:proofErr w:type="spellStart"/>
      <w:r w:rsidR="00D80742">
        <w:t>Багыр</w:t>
      </w:r>
      <w:proofErr w:type="spellEnd"/>
      <w:r w:rsidR="00D80742">
        <w:t xml:space="preserve">, д. </w:t>
      </w:r>
      <w:proofErr w:type="spellStart"/>
      <w:r w:rsidR="00D80742">
        <w:t>Малягурт</w:t>
      </w:r>
      <w:proofErr w:type="spellEnd"/>
      <w:r w:rsidR="00D80742">
        <w:t>,</w:t>
      </w:r>
      <w:r w:rsidR="00515B9F">
        <w:t xml:space="preserve"> с. </w:t>
      </w:r>
      <w:proofErr w:type="spellStart"/>
      <w:r w:rsidR="00515B9F">
        <w:t>Кокман</w:t>
      </w:r>
      <w:proofErr w:type="spellEnd"/>
      <w:r w:rsidR="00515B9F">
        <w:t xml:space="preserve">, с. Большой </w:t>
      </w:r>
      <w:proofErr w:type="spellStart"/>
      <w:r w:rsidR="00515B9F">
        <w:t>Селег</w:t>
      </w:r>
      <w:proofErr w:type="spellEnd"/>
      <w:r w:rsidR="00515B9F">
        <w:t>).</w:t>
      </w:r>
      <w:r w:rsidR="002D6BAF">
        <w:t xml:space="preserve"> </w:t>
      </w:r>
      <w:r w:rsidR="000A41BC">
        <w:t>П</w:t>
      </w:r>
      <w:r>
        <w:t>ри общеобразовательных школах</w:t>
      </w:r>
      <w:r w:rsidR="000A41BC">
        <w:t xml:space="preserve"> имеется 6 дошкольных групп</w:t>
      </w:r>
      <w:r w:rsidR="00D80742">
        <w:t xml:space="preserve"> (Архангельская СОШ, Барановская СОШ, </w:t>
      </w:r>
      <w:proofErr w:type="spellStart"/>
      <w:r w:rsidR="00D80742">
        <w:t>Дебинская</w:t>
      </w:r>
      <w:proofErr w:type="spellEnd"/>
      <w:r w:rsidR="00D80742">
        <w:t xml:space="preserve"> СОШ, </w:t>
      </w:r>
      <w:proofErr w:type="spellStart"/>
      <w:r w:rsidR="00D80742">
        <w:t>Валамазская</w:t>
      </w:r>
      <w:proofErr w:type="spellEnd"/>
      <w:r w:rsidR="00D80742">
        <w:t xml:space="preserve"> СОШ</w:t>
      </w:r>
      <w:r w:rsidR="008D7EFA">
        <w:t xml:space="preserve">, </w:t>
      </w:r>
      <w:proofErr w:type="spellStart"/>
      <w:r w:rsidR="008D7EFA">
        <w:t>Курьинская</w:t>
      </w:r>
      <w:proofErr w:type="spellEnd"/>
      <w:r w:rsidR="008D7EFA">
        <w:t xml:space="preserve"> СОШ, Васильевская Н</w:t>
      </w:r>
      <w:r w:rsidR="00D80742">
        <w:t>ОШ)</w:t>
      </w:r>
      <w:r>
        <w:t xml:space="preserve">.  </w:t>
      </w:r>
      <w:r w:rsidR="000A41BC">
        <w:t>До</w:t>
      </w:r>
      <w:r w:rsidR="004A3E6A">
        <w:t>школьные учреждения посещают 411 детей</w:t>
      </w:r>
      <w:r w:rsidR="000A41BC">
        <w:t>.</w:t>
      </w:r>
    </w:p>
    <w:p w:rsidR="00896846" w:rsidRDefault="00896846" w:rsidP="002D6BAF">
      <w:pPr>
        <w:jc w:val="both"/>
      </w:pPr>
      <w:r>
        <w:t xml:space="preserve"> </w:t>
      </w:r>
      <w:r>
        <w:tab/>
        <w:t xml:space="preserve">В дошкольных образовательных учреждениях реализуются программы обучающего, гражданско-патриотического, экологического, социального направлений. Ведется работа по </w:t>
      </w:r>
      <w:proofErr w:type="spellStart"/>
      <w:r>
        <w:t>здоровьесбережению</w:t>
      </w:r>
      <w:proofErr w:type="spellEnd"/>
      <w:r>
        <w:t xml:space="preserve"> и физическому воспитанию детей, результатом чего является снижение уровня заболеваемости детей  и рост посещаемости ДОУ. Осуществляется преемственность </w:t>
      </w:r>
      <w:r w:rsidR="002D6BAF">
        <w:t>в работе детского сада и школы.</w:t>
      </w:r>
    </w:p>
    <w:p w:rsidR="00896846" w:rsidRDefault="00896846" w:rsidP="00896846">
      <w:pPr>
        <w:jc w:val="both"/>
        <w:rPr>
          <w:b/>
        </w:rPr>
      </w:pPr>
    </w:p>
    <w:p w:rsidR="00896846" w:rsidRDefault="002D6BAF" w:rsidP="00896846">
      <w:pPr>
        <w:jc w:val="both"/>
        <w:rPr>
          <w:b/>
        </w:rPr>
      </w:pPr>
      <w:r w:rsidRPr="0060644B">
        <w:t>Показатель № 9</w:t>
      </w:r>
      <w:r w:rsidR="00896846" w:rsidRPr="0060644B">
        <w:t>.</w:t>
      </w:r>
      <w:r>
        <w:rPr>
          <w:b/>
        </w:rPr>
        <w:t xml:space="preserve"> Доля детей в возрасте 1 - 6</w:t>
      </w:r>
      <w:r w:rsidR="00896846">
        <w:rPr>
          <w:b/>
        </w:rPr>
        <w:t xml:space="preserve"> лет, получающих дошкольную образовательную услугу и (или) услугу по их содержанию в муниципа</w:t>
      </w:r>
      <w:r>
        <w:rPr>
          <w:b/>
        </w:rPr>
        <w:t xml:space="preserve">льных </w:t>
      </w:r>
      <w:r w:rsidR="00896846">
        <w:rPr>
          <w:b/>
        </w:rPr>
        <w:t xml:space="preserve">  образовательных учреждениях</w:t>
      </w:r>
      <w:r>
        <w:rPr>
          <w:b/>
        </w:rPr>
        <w:t xml:space="preserve"> в общей численности детей в возрасте 1-6 лет</w:t>
      </w:r>
      <w:r w:rsidR="00896846">
        <w:rPr>
          <w:b/>
        </w:rPr>
        <w:t>:</w:t>
      </w:r>
    </w:p>
    <w:p w:rsidR="008D7EFA" w:rsidRDefault="008D7EFA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69,12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63,37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63,55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62,12</w:t>
            </w:r>
          </w:p>
        </w:tc>
        <w:tc>
          <w:tcPr>
            <w:tcW w:w="1107" w:type="dxa"/>
          </w:tcPr>
          <w:p w:rsidR="00667E04" w:rsidRDefault="0060644B" w:rsidP="00443D78">
            <w:pPr>
              <w:jc w:val="center"/>
            </w:pPr>
            <w:r>
              <w:t>56,61</w:t>
            </w:r>
          </w:p>
        </w:tc>
        <w:tc>
          <w:tcPr>
            <w:tcW w:w="1107" w:type="dxa"/>
          </w:tcPr>
          <w:p w:rsidR="00667E04" w:rsidRDefault="0060644B" w:rsidP="00443D78">
            <w:pPr>
              <w:jc w:val="center"/>
            </w:pPr>
            <w:r>
              <w:t>64,85</w:t>
            </w:r>
          </w:p>
        </w:tc>
        <w:tc>
          <w:tcPr>
            <w:tcW w:w="1108" w:type="dxa"/>
          </w:tcPr>
          <w:p w:rsidR="00667E04" w:rsidRDefault="0060644B" w:rsidP="00443D78">
            <w:pPr>
              <w:jc w:val="center"/>
            </w:pPr>
            <w:r>
              <w:t>65,97</w:t>
            </w:r>
          </w:p>
        </w:tc>
        <w:tc>
          <w:tcPr>
            <w:tcW w:w="1108" w:type="dxa"/>
          </w:tcPr>
          <w:p w:rsidR="00667E04" w:rsidRDefault="0060644B" w:rsidP="00443D78">
            <w:pPr>
              <w:jc w:val="center"/>
            </w:pPr>
            <w:r>
              <w:t>70,52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60644B" w:rsidP="00896846">
      <w:pPr>
        <w:jc w:val="both"/>
      </w:pPr>
      <w:r>
        <w:tab/>
        <w:t>В 2019</w:t>
      </w:r>
      <w:r w:rsidR="002D6BAF">
        <w:t xml:space="preserve"> году численность детей в возрасте от 1 </w:t>
      </w:r>
      <w:r>
        <w:t>до 6 лет в районе составляла 726</w:t>
      </w:r>
      <w:r w:rsidR="002D6BAF">
        <w:t xml:space="preserve"> </w:t>
      </w:r>
      <w:r w:rsidR="00515B9F">
        <w:t>человек</w:t>
      </w:r>
      <w:r>
        <w:t>, из них 411</w:t>
      </w:r>
      <w:r w:rsidR="008D7EFA">
        <w:t xml:space="preserve"> детей</w:t>
      </w:r>
      <w:r w:rsidR="00896846">
        <w:t xml:space="preserve"> получали дошкольну</w:t>
      </w:r>
      <w:r w:rsidR="002D6BAF">
        <w:t>ю образовательную услугу, или</w:t>
      </w:r>
      <w:r>
        <w:t xml:space="preserve"> 56,61</w:t>
      </w:r>
      <w:r w:rsidR="000F3440">
        <w:t xml:space="preserve"> процент</w:t>
      </w:r>
      <w:r w:rsidR="00515B9F">
        <w:t xml:space="preserve">ов. </w:t>
      </w:r>
      <w:r w:rsidR="008D7EFA">
        <w:t>П</w:t>
      </w:r>
      <w:r>
        <w:t>оказатель снизился к уровню 2018 года на 5,51</w:t>
      </w:r>
      <w:r w:rsidR="009B40DC">
        <w:t xml:space="preserve"> % пункта. </w:t>
      </w:r>
      <w:r w:rsidR="008D7EFA">
        <w:t>При этом</w:t>
      </w:r>
      <w:r w:rsidR="000F3440">
        <w:t xml:space="preserve"> число воспитанников ДОУ в дошкольных группах и малокомплектных детских садах, расположенных на периферии</w:t>
      </w:r>
      <w:r>
        <w:t xml:space="preserve"> снизилось на 76</w:t>
      </w:r>
      <w:r w:rsidR="008D7EFA">
        <w:t xml:space="preserve"> детей к предшествующему году</w:t>
      </w:r>
      <w:r w:rsidR="000F3440">
        <w:t xml:space="preserve"> из-за снижения рождаемости детей</w:t>
      </w:r>
      <w:r w:rsidR="00A53D0C">
        <w:t>.</w:t>
      </w:r>
      <w:r w:rsidR="0034191D">
        <w:t xml:space="preserve"> Всем желающим выдаются направления в ДОУ и предоставляются места.</w:t>
      </w:r>
      <w:r w:rsidR="000F3440">
        <w:t xml:space="preserve"> </w:t>
      </w:r>
      <w:r w:rsidR="00896846">
        <w:t xml:space="preserve"> В последующие три года число детей, охваченных дошкольным образ</w:t>
      </w:r>
      <w:r w:rsidR="00A53D0C">
        <w:t>ованием</w:t>
      </w:r>
      <w:r w:rsidR="00D80742">
        <w:t>,</w:t>
      </w:r>
      <w:r w:rsidR="00E60F1D">
        <w:t xml:space="preserve"> будет обеспечено на уровне </w:t>
      </w:r>
      <w:r>
        <w:t>64,85 – 70,52</w:t>
      </w:r>
      <w:r w:rsidR="0034191D">
        <w:t xml:space="preserve"> </w:t>
      </w:r>
      <w:r w:rsidR="002137D2">
        <w:t>%.</w:t>
      </w:r>
    </w:p>
    <w:p w:rsidR="00896846" w:rsidRDefault="00896846" w:rsidP="00896846">
      <w:pPr>
        <w:jc w:val="both"/>
        <w:rPr>
          <w:b/>
        </w:rPr>
      </w:pPr>
    </w:p>
    <w:p w:rsidR="00896846" w:rsidRDefault="002137D2" w:rsidP="00896846">
      <w:pPr>
        <w:jc w:val="both"/>
        <w:rPr>
          <w:b/>
        </w:rPr>
      </w:pPr>
      <w:r w:rsidRPr="00DF4906">
        <w:t>Показатель 10</w:t>
      </w:r>
      <w:r w:rsidR="00896846" w:rsidRPr="00DF4906">
        <w:t>.</w:t>
      </w:r>
      <w:r w:rsidR="00896846">
        <w:rPr>
          <w:b/>
        </w:rPr>
        <w:t xml:space="preserve"> Доля детей в возрасте 1- 6 лет, состоящих на учете для определения в муниципальные дошкольные образовательные учреждения, в общей численности детей в возрасте 1-6 лет:</w:t>
      </w:r>
    </w:p>
    <w:p w:rsidR="00C92F50" w:rsidRDefault="00C92F5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5,23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3,37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1,46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1,53</w:t>
            </w:r>
          </w:p>
        </w:tc>
        <w:tc>
          <w:tcPr>
            <w:tcW w:w="1107" w:type="dxa"/>
          </w:tcPr>
          <w:p w:rsidR="00667E04" w:rsidRDefault="0060644B" w:rsidP="00443D78">
            <w:pPr>
              <w:jc w:val="center"/>
            </w:pPr>
            <w:r>
              <w:t>1,79</w:t>
            </w:r>
          </w:p>
        </w:tc>
        <w:tc>
          <w:tcPr>
            <w:tcW w:w="1107" w:type="dxa"/>
          </w:tcPr>
          <w:p w:rsidR="00667E04" w:rsidRDefault="0060644B" w:rsidP="00443D78">
            <w:pPr>
              <w:jc w:val="center"/>
            </w:pPr>
            <w:r>
              <w:t>1,76</w:t>
            </w:r>
          </w:p>
        </w:tc>
        <w:tc>
          <w:tcPr>
            <w:tcW w:w="1108" w:type="dxa"/>
          </w:tcPr>
          <w:p w:rsidR="00667E04" w:rsidRDefault="0060644B" w:rsidP="00443D78">
            <w:pPr>
              <w:jc w:val="center"/>
            </w:pPr>
            <w:r>
              <w:t>1,61</w:t>
            </w:r>
          </w:p>
        </w:tc>
        <w:tc>
          <w:tcPr>
            <w:tcW w:w="1108" w:type="dxa"/>
          </w:tcPr>
          <w:p w:rsidR="00667E04" w:rsidRDefault="0060644B" w:rsidP="00443D78">
            <w:pPr>
              <w:jc w:val="center"/>
            </w:pPr>
            <w:r>
              <w:t>0,8</w:t>
            </w:r>
            <w:r w:rsidR="00667E04">
              <w:t>6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035AFA" w:rsidRDefault="00896846" w:rsidP="00035AFA">
      <w:pPr>
        <w:ind w:firstLine="708"/>
        <w:jc w:val="both"/>
      </w:pPr>
      <w:r>
        <w:t>В муниципальном обр</w:t>
      </w:r>
      <w:r w:rsidR="0034191D">
        <w:t>азовании нет</w:t>
      </w:r>
      <w:r w:rsidR="00A53D0C">
        <w:t xml:space="preserve"> очередности</w:t>
      </w:r>
      <w:r>
        <w:t xml:space="preserve"> в дошкольные образовательные учреждения</w:t>
      </w:r>
      <w:r w:rsidR="00035AFA">
        <w:t xml:space="preserve"> ввиду низкой рождаемости</w:t>
      </w:r>
      <w:r>
        <w:t>. Доля детей в возрасте 1-6 лет, состоящих на учете для определения в муниципальные дошкольные об</w:t>
      </w:r>
      <w:r w:rsidR="00DF4906">
        <w:t>разовательные учреждения, в 2019</w:t>
      </w:r>
      <w:r w:rsidR="00E60F1D">
        <w:t xml:space="preserve"> году</w:t>
      </w:r>
      <w:r w:rsidR="00035AFA">
        <w:t xml:space="preserve"> составила</w:t>
      </w:r>
      <w:r w:rsidR="00DF4906">
        <w:t xml:space="preserve"> 1,79</w:t>
      </w:r>
      <w:r>
        <w:t>%</w:t>
      </w:r>
      <w:r w:rsidR="004A3E6A">
        <w:t xml:space="preserve">  или </w:t>
      </w:r>
      <w:r w:rsidR="00DF4906">
        <w:t>13</w:t>
      </w:r>
      <w:r w:rsidR="004A3E6A">
        <w:t xml:space="preserve"> человек</w:t>
      </w:r>
      <w:r w:rsidR="00106EEF">
        <w:t xml:space="preserve"> и </w:t>
      </w:r>
      <w:r w:rsidR="0034191D">
        <w:t xml:space="preserve"> являются</w:t>
      </w:r>
      <w:r w:rsidR="008D7EFA">
        <w:t xml:space="preserve"> отложенным спросом</w:t>
      </w:r>
      <w:r w:rsidR="00DF4906">
        <w:t xml:space="preserve"> родителей, желающим в будущем отдать родившихся детей на воспитание в ДОУ, всем желающим</w:t>
      </w:r>
      <w:r w:rsidR="0034191D">
        <w:t xml:space="preserve"> предоставлены места</w:t>
      </w:r>
      <w:r w:rsidR="00DF4906">
        <w:t xml:space="preserve"> в ДОУ. При этом переуплотнен 1</w:t>
      </w:r>
      <w:r w:rsidR="0034191D">
        <w:t xml:space="preserve"> детск</w:t>
      </w:r>
      <w:r w:rsidR="00DF4906">
        <w:t>ий сад, расположенный</w:t>
      </w:r>
      <w:r w:rsidR="0034191D">
        <w:t xml:space="preserve"> </w:t>
      </w:r>
      <w:proofErr w:type="gramStart"/>
      <w:r w:rsidR="0034191D">
        <w:t>в</w:t>
      </w:r>
      <w:proofErr w:type="gramEnd"/>
      <w:r w:rsidR="0034191D">
        <w:t xml:space="preserve"> с. Красногорское, </w:t>
      </w:r>
      <w:proofErr w:type="gramStart"/>
      <w:r w:rsidR="0034191D">
        <w:t>во</w:t>
      </w:r>
      <w:proofErr w:type="gramEnd"/>
      <w:r w:rsidR="0034191D">
        <w:t xml:space="preserve"> всех остальных</w:t>
      </w:r>
      <w:r w:rsidR="00DF4906">
        <w:t xml:space="preserve"> 12</w:t>
      </w:r>
      <w:r w:rsidR="0034191D">
        <w:t xml:space="preserve"> дошкольных образовательных учреждениях имеются свободные места. В плановый период сохранит</w:t>
      </w:r>
      <w:r w:rsidR="00035AFA">
        <w:t xml:space="preserve">ся низкая доля детей, стоящих не </w:t>
      </w:r>
      <w:proofErr w:type="gramStart"/>
      <w:r w:rsidR="00035AFA">
        <w:t>учете</w:t>
      </w:r>
      <w:proofErr w:type="gramEnd"/>
      <w:r w:rsidR="00035AFA">
        <w:t xml:space="preserve"> для </w:t>
      </w:r>
      <w:r w:rsidR="00DF4906">
        <w:t>определения в ДОУ на уровне 1,76 – 0,8</w:t>
      </w:r>
      <w:r w:rsidR="008D7EFA">
        <w:t>6</w:t>
      </w:r>
      <w:r w:rsidR="00035AFA">
        <w:t xml:space="preserve"> %.</w:t>
      </w:r>
    </w:p>
    <w:p w:rsidR="00896846" w:rsidRDefault="00035AFA" w:rsidP="00035AFA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896846" w:rsidRDefault="005252B1" w:rsidP="00896846">
      <w:pPr>
        <w:jc w:val="both"/>
        <w:rPr>
          <w:b/>
        </w:rPr>
      </w:pPr>
      <w:r w:rsidRPr="00210722">
        <w:t>Показатель 11</w:t>
      </w:r>
      <w:r w:rsidR="00896846" w:rsidRPr="00210722">
        <w:t>.</w:t>
      </w:r>
      <w:r>
        <w:rPr>
          <w:b/>
        </w:rPr>
        <w:t xml:space="preserve"> Доля</w:t>
      </w:r>
      <w:r w:rsidR="00896846">
        <w:rPr>
          <w:b/>
        </w:rPr>
        <w:t xml:space="preserve"> муниципальных дошкольных образовательных учреждений, здания которых находятся в аварийном состоянии или требуют капитального ремонта</w:t>
      </w:r>
      <w:r>
        <w:rPr>
          <w:b/>
        </w:rPr>
        <w:t>, в общем числе муниципальных дошкольных образовательных учреждений</w:t>
      </w:r>
      <w:r w:rsidR="00896846">
        <w:rPr>
          <w:b/>
        </w:rPr>
        <w:t>:</w:t>
      </w:r>
    </w:p>
    <w:p w:rsidR="00C92F50" w:rsidRDefault="00C92F5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14,29</w:t>
            </w:r>
          </w:p>
        </w:tc>
        <w:tc>
          <w:tcPr>
            <w:tcW w:w="1107" w:type="dxa"/>
          </w:tcPr>
          <w:p w:rsidR="00667E04" w:rsidRDefault="00DF4906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DF4906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620D22" w:rsidP="00896846">
      <w:pPr>
        <w:ind w:firstLine="708"/>
        <w:jc w:val="both"/>
      </w:pPr>
      <w:r>
        <w:t xml:space="preserve">Из </w:t>
      </w:r>
      <w:r w:rsidR="00DF4906">
        <w:t>семи имеющихся на 01 января 2019</w:t>
      </w:r>
      <w:r w:rsidR="00896846">
        <w:t xml:space="preserve"> года дошколь</w:t>
      </w:r>
      <w:r w:rsidR="005252B1">
        <w:t xml:space="preserve">ных образовательных учреждений 1 детский сад </w:t>
      </w:r>
      <w:r>
        <w:t>находятся в деревянном здании, 6</w:t>
      </w:r>
      <w:r w:rsidR="00896846">
        <w:t xml:space="preserve"> – в кирпичных</w:t>
      </w:r>
      <w:r>
        <w:t xml:space="preserve"> зданиях</w:t>
      </w:r>
      <w:r w:rsidR="00896846">
        <w:t xml:space="preserve">. </w:t>
      </w:r>
      <w:r w:rsidR="005252B1" w:rsidRPr="005252B1">
        <w:t xml:space="preserve">Доля муниципальных </w:t>
      </w:r>
      <w:r w:rsidR="005252B1" w:rsidRPr="005252B1">
        <w:lastRenderedPageBreak/>
        <w:t xml:space="preserve">дошкольных образовательных учреждений, здания которых находятся в аварийном состоянии или </w:t>
      </w:r>
      <w:proofErr w:type="gramStart"/>
      <w:r w:rsidR="005252B1" w:rsidRPr="005252B1">
        <w:t>требуют капитального ремонта</w:t>
      </w:r>
      <w:r w:rsidR="00DF4906">
        <w:t xml:space="preserve"> в 2019 году составила</w:t>
      </w:r>
      <w:proofErr w:type="gramEnd"/>
      <w:r w:rsidR="00DF4906">
        <w:t xml:space="preserve"> 0</w:t>
      </w:r>
      <w:r w:rsidR="00035AFA">
        <w:t xml:space="preserve"> </w:t>
      </w:r>
      <w:r w:rsidR="005252B1">
        <w:t>%</w:t>
      </w:r>
      <w:r w:rsidR="00C92F50">
        <w:t xml:space="preserve"> </w:t>
      </w:r>
      <w:r w:rsidR="00DF4906">
        <w:t xml:space="preserve"> за счет проведения капитального</w:t>
      </w:r>
      <w:r w:rsidR="00C92F50">
        <w:t xml:space="preserve"> ремонт</w:t>
      </w:r>
      <w:r w:rsidR="00DF4906">
        <w:t>а</w:t>
      </w:r>
      <w:r w:rsidR="00931168">
        <w:t xml:space="preserve"> здания</w:t>
      </w:r>
      <w:r w:rsidR="00C92F50">
        <w:t xml:space="preserve"> детского сада № 2. </w:t>
      </w:r>
      <w:r w:rsidR="00210722">
        <w:t>В</w:t>
      </w:r>
      <w:r w:rsidR="00893453">
        <w:t xml:space="preserve"> п</w:t>
      </w:r>
      <w:r w:rsidR="00C92F50">
        <w:t>рогнозный период зданий дошкольных образовательных учреждений, требующих капитального ремонта не будет</w:t>
      </w:r>
      <w:r w:rsidR="005252B1">
        <w:t>.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jc w:val="both"/>
        <w:rPr>
          <w:b/>
        </w:rPr>
      </w:pPr>
    </w:p>
    <w:p w:rsidR="00896846" w:rsidRDefault="002373FB" w:rsidP="00896846">
      <w:pPr>
        <w:jc w:val="center"/>
        <w:rPr>
          <w:b/>
        </w:rPr>
      </w:pPr>
      <w:r>
        <w:rPr>
          <w:b/>
          <w:lang w:val="en-US"/>
        </w:rPr>
        <w:t>III</w:t>
      </w:r>
      <w:r w:rsidR="00896846">
        <w:rPr>
          <w:b/>
        </w:rPr>
        <w:t>. ОБЩЕЕ И ДОПОЛНИТЕЛЬНОЕ ОБРАЗОВАНИЕ</w:t>
      </w:r>
    </w:p>
    <w:p w:rsidR="00896846" w:rsidRDefault="00896846" w:rsidP="00896846">
      <w:pPr>
        <w:jc w:val="both"/>
        <w:rPr>
          <w:b/>
        </w:rPr>
      </w:pPr>
    </w:p>
    <w:p w:rsidR="00896846" w:rsidRDefault="006E330F" w:rsidP="00896846">
      <w:pPr>
        <w:ind w:firstLine="708"/>
        <w:jc w:val="both"/>
      </w:pPr>
      <w:r>
        <w:t>В Красногорском районе восемь</w:t>
      </w:r>
      <w:r w:rsidR="00896846">
        <w:t xml:space="preserve"> общеобразовательных учреждени</w:t>
      </w:r>
      <w:r w:rsidR="002373FB">
        <w:t>й, в том числе 7 средних школ</w:t>
      </w:r>
      <w:r w:rsidR="00035AFA">
        <w:t xml:space="preserve"> (</w:t>
      </w:r>
      <w:proofErr w:type="spellStart"/>
      <w:r w:rsidR="00035AFA">
        <w:t>Красногорская</w:t>
      </w:r>
      <w:proofErr w:type="spellEnd"/>
      <w:r w:rsidR="00035AFA">
        <w:t xml:space="preserve"> гимназия, </w:t>
      </w:r>
      <w:proofErr w:type="spellStart"/>
      <w:r w:rsidR="00035AFA">
        <w:t>Красногорская</w:t>
      </w:r>
      <w:proofErr w:type="spellEnd"/>
      <w:r w:rsidR="00035AFA">
        <w:t xml:space="preserve"> СОШ, Архангельская СОШ, Барановская СОШ, </w:t>
      </w:r>
      <w:proofErr w:type="spellStart"/>
      <w:r w:rsidR="00035AFA">
        <w:t>Дебинская</w:t>
      </w:r>
      <w:proofErr w:type="spellEnd"/>
      <w:r w:rsidR="00035AFA">
        <w:t xml:space="preserve"> СОШ, </w:t>
      </w:r>
      <w:proofErr w:type="spellStart"/>
      <w:r w:rsidR="00035AFA">
        <w:t>Валамазская</w:t>
      </w:r>
      <w:proofErr w:type="spellEnd"/>
      <w:r w:rsidR="00035AFA">
        <w:t xml:space="preserve"> СОШ, </w:t>
      </w:r>
      <w:proofErr w:type="spellStart"/>
      <w:r w:rsidR="00035AFA">
        <w:t>Курьинская</w:t>
      </w:r>
      <w:proofErr w:type="spellEnd"/>
      <w:r w:rsidR="00035AFA">
        <w:t xml:space="preserve"> СОШ)</w:t>
      </w:r>
      <w:r w:rsidR="002373FB">
        <w:t xml:space="preserve">, </w:t>
      </w:r>
      <w:r w:rsidR="002373FB" w:rsidRPr="002373FB">
        <w:t>1</w:t>
      </w:r>
      <w:r w:rsidR="00425611">
        <w:t xml:space="preserve">  начальная</w:t>
      </w:r>
      <w:r w:rsidR="002373FB">
        <w:t xml:space="preserve"> школа</w:t>
      </w:r>
      <w:r w:rsidR="00425611">
        <w:t xml:space="preserve"> (Васильевская Н</w:t>
      </w:r>
      <w:r w:rsidR="00035AFA">
        <w:t>ОШ)</w:t>
      </w:r>
      <w:r w:rsidR="00AE3880">
        <w:t>;</w:t>
      </w:r>
      <w:r w:rsidR="002373FB">
        <w:t xml:space="preserve"> </w:t>
      </w:r>
      <w:r w:rsidR="00896846">
        <w:t>3 учреждения дополнительного образования</w:t>
      </w:r>
      <w:r w:rsidR="00035AFA">
        <w:t xml:space="preserve"> (</w:t>
      </w:r>
      <w:proofErr w:type="spellStart"/>
      <w:r w:rsidR="00035AFA">
        <w:t>Красногорская</w:t>
      </w:r>
      <w:proofErr w:type="spellEnd"/>
      <w:r w:rsidR="00035AFA">
        <w:t xml:space="preserve"> ДЮСШ, </w:t>
      </w:r>
      <w:proofErr w:type="spellStart"/>
      <w:r w:rsidR="00035AFA">
        <w:t>Красногорская</w:t>
      </w:r>
      <w:proofErr w:type="spellEnd"/>
      <w:r w:rsidR="00035AFA">
        <w:t xml:space="preserve"> ДШИ, Красногорский ЦДТ)</w:t>
      </w:r>
      <w:r w:rsidR="00896846">
        <w:t xml:space="preserve">, </w:t>
      </w:r>
      <w:r w:rsidR="00035AFA">
        <w:t xml:space="preserve">Красногорский </w:t>
      </w:r>
      <w:r w:rsidR="00896846">
        <w:t>детский дом. В общеобразовате</w:t>
      </w:r>
      <w:r w:rsidR="00CE78B8">
        <w:t xml:space="preserve">льных учреждениях </w:t>
      </w:r>
      <w:r w:rsidR="00106EEF">
        <w:t>обучается 1035</w:t>
      </w:r>
      <w:r w:rsidR="00896846">
        <w:t xml:space="preserve"> учащихся. В связи с демографической ситуацией в районе уменьшается количество учащихся в об</w:t>
      </w:r>
      <w:r w:rsidR="002373FB">
        <w:t>разовательны</w:t>
      </w:r>
      <w:r w:rsidR="00893453">
        <w:t>х учреждениях: (1232 -2015 год</w:t>
      </w:r>
      <w:r w:rsidR="00CE78B8">
        <w:t>, 1065 – 2016 год</w:t>
      </w:r>
      <w:r w:rsidR="00AB0ECE">
        <w:t>, 1064 – 2017 год</w:t>
      </w:r>
      <w:r w:rsidR="00BF08B6">
        <w:t>, 1059 -2018 год</w:t>
      </w:r>
      <w:r w:rsidR="00896846">
        <w:t>).</w:t>
      </w:r>
      <w:r w:rsidR="00CE78B8">
        <w:t xml:space="preserve"> Средняя наполняемост</w:t>
      </w:r>
      <w:r w:rsidR="00BF08B6">
        <w:t>ь классов составляет 11,5</w:t>
      </w:r>
      <w:r w:rsidR="00CE78B8">
        <w:t xml:space="preserve"> учеников при нормативе 14 человек. На 1 педагога приходится 7,2</w:t>
      </w:r>
      <w:r>
        <w:t xml:space="preserve"> обучающихся</w:t>
      </w:r>
      <w:r w:rsidR="00CE78B8">
        <w:t xml:space="preserve"> при нормативе 15</w:t>
      </w:r>
      <w:r w:rsidR="00425611">
        <w:t xml:space="preserve"> учеников</w:t>
      </w:r>
      <w:r>
        <w:t>.</w:t>
      </w:r>
      <w:r w:rsidR="00896846">
        <w:t xml:space="preserve"> Система дополнительного образования включает  Центр детского т</w:t>
      </w:r>
      <w:r w:rsidR="0050688D">
        <w:t>ворчества</w:t>
      </w:r>
      <w:r w:rsidR="00E1516B">
        <w:t xml:space="preserve"> (423</w:t>
      </w:r>
      <w:r w:rsidR="00BF08B6">
        <w:t>)</w:t>
      </w:r>
      <w:r w:rsidR="00CE78B8">
        <w:t xml:space="preserve"> и</w:t>
      </w:r>
      <w:r w:rsidR="00896846">
        <w:t xml:space="preserve"> Детско</w:t>
      </w:r>
      <w:r w:rsidR="00BF08B6">
        <w:t>-юношескую спортивную школу (470</w:t>
      </w:r>
      <w:r w:rsidR="005918A3">
        <w:t xml:space="preserve"> челове</w:t>
      </w:r>
      <w:r w:rsidR="005541B9">
        <w:t>к) и Детскую школу искусств (110</w:t>
      </w:r>
      <w:r w:rsidR="00896846">
        <w:t xml:space="preserve"> чел.). </w:t>
      </w:r>
      <w:r w:rsidR="008B2442" w:rsidRPr="008B2442">
        <w:t>172</w:t>
      </w:r>
      <w:r w:rsidR="00CE78B8">
        <w:t xml:space="preserve"> детей</w:t>
      </w:r>
      <w:r>
        <w:t xml:space="preserve"> </w:t>
      </w:r>
      <w:r w:rsidR="003A0B16">
        <w:t>е</w:t>
      </w:r>
      <w:r w:rsidR="00CE78B8">
        <w:t>жедневно</w:t>
      </w:r>
      <w:r w:rsidR="008B2442">
        <w:t xml:space="preserve"> подвозится к школам, 17 детей</w:t>
      </w:r>
      <w:r>
        <w:t xml:space="preserve"> проживают в пришкольном интернате Красногорской СОШ.</w:t>
      </w:r>
      <w:r w:rsidR="00425611">
        <w:t xml:space="preserve"> В Детском доме проживает 2</w:t>
      </w:r>
      <w:r w:rsidR="00B240C2">
        <w:t>6</w:t>
      </w:r>
      <w:r w:rsidR="003A0B16">
        <w:t xml:space="preserve"> детей</w:t>
      </w:r>
      <w:r w:rsidR="000A41BC">
        <w:t>.</w:t>
      </w:r>
    </w:p>
    <w:p w:rsidR="00896846" w:rsidRDefault="00896846" w:rsidP="00896846">
      <w:pPr>
        <w:ind w:firstLine="708"/>
        <w:jc w:val="both"/>
      </w:pPr>
      <w:r>
        <w:t>Педагоги района постоянно работают над повышением качества образования за счет проведения методических семинаров и мастер-классов по внедрению педагогических находок, проектов, раскрытия собственной системы работы по достижению высокого результата</w:t>
      </w:r>
      <w:r w:rsidR="003A0B16">
        <w:t>, повышения квалификации</w:t>
      </w:r>
      <w:r>
        <w:t>. Педагоги ведут исследовательскую деятельность путем участия в конференциях педагогических работников, конкурсах программ.  Ведется воспитательная деятельность по формированию у учащихся культурных, духовно-нравственных ценностей, гражданской ответственности, здорового образа жизни, по содействию социальной самореализации детей. Педагоги активно осваивают применение информационных технологий в образовательном процессе.</w:t>
      </w:r>
    </w:p>
    <w:p w:rsidR="00896846" w:rsidRDefault="00896846" w:rsidP="00896846">
      <w:pPr>
        <w:ind w:firstLine="708"/>
        <w:jc w:val="both"/>
      </w:pPr>
      <w:r>
        <w:t>В целях обеспечения безопасности образовательных учреждений реализу</w:t>
      </w:r>
      <w:r w:rsidR="0050688D">
        <w:t>ются мероприятия</w:t>
      </w:r>
      <w:r>
        <w:t xml:space="preserve"> по противопожарной безопасности, антитеррористической защищенности, безопасности дорожного движения и охраны труда образовательных учреждений.</w:t>
      </w:r>
    </w:p>
    <w:p w:rsidR="00896846" w:rsidRDefault="00BF08B6" w:rsidP="00896846">
      <w:pPr>
        <w:ind w:firstLine="708"/>
        <w:jc w:val="both"/>
      </w:pPr>
      <w:r>
        <w:t xml:space="preserve">В 2019 году </w:t>
      </w:r>
      <w:r w:rsidR="00CE78B8">
        <w:t xml:space="preserve"> </w:t>
      </w:r>
      <w:r>
        <w:t>81,93</w:t>
      </w:r>
      <w:r w:rsidR="00CE78B8">
        <w:t xml:space="preserve"> </w:t>
      </w:r>
      <w:r w:rsidR="006E330F">
        <w:t>% детей имеют 1 и 2 группы здоровья</w:t>
      </w:r>
      <w:r>
        <w:t>, в сравнении с 2018 годом доля снизилась на 9,1 процентный пункт из-за низкой физической активности детей</w:t>
      </w:r>
      <w:r w:rsidR="00536B7A">
        <w:t>, нерационального питания</w:t>
      </w:r>
      <w:r w:rsidR="006E330F">
        <w:t>.</w:t>
      </w:r>
    </w:p>
    <w:p w:rsidR="00AB0ECE" w:rsidRDefault="00AB0ECE" w:rsidP="00896846">
      <w:pPr>
        <w:ind w:firstLine="708"/>
        <w:jc w:val="both"/>
      </w:pPr>
      <w:r>
        <w:t>В плановый период будут решаться следующие задачи:</w:t>
      </w:r>
    </w:p>
    <w:p w:rsidR="00AB0ECE" w:rsidRDefault="00AB0ECE" w:rsidP="00896846">
      <w:pPr>
        <w:ind w:firstLine="708"/>
        <w:jc w:val="both"/>
      </w:pPr>
      <w:r>
        <w:t>-реализация муниципальной программы «Развитие образования и воспитание»;</w:t>
      </w:r>
    </w:p>
    <w:p w:rsidR="00AB0ECE" w:rsidRDefault="00AB0ECE" w:rsidP="00896846">
      <w:pPr>
        <w:ind w:firstLine="708"/>
        <w:jc w:val="both"/>
      </w:pPr>
      <w:r>
        <w:t>-увеличение охвата детей дополнительным образованием;</w:t>
      </w:r>
    </w:p>
    <w:p w:rsidR="00AB0ECE" w:rsidRDefault="00AB0ECE" w:rsidP="00896846">
      <w:pPr>
        <w:ind w:firstLine="708"/>
        <w:jc w:val="both"/>
      </w:pPr>
      <w:r>
        <w:t>-оснащение школ современным оборудованием;</w:t>
      </w:r>
    </w:p>
    <w:p w:rsidR="00AB0ECE" w:rsidRDefault="00AB0ECE" w:rsidP="00896846">
      <w:pPr>
        <w:ind w:firstLine="708"/>
        <w:jc w:val="both"/>
      </w:pPr>
      <w:r>
        <w:t>-развитие спортивно-оздоровительной работы;</w:t>
      </w:r>
    </w:p>
    <w:p w:rsidR="00AB0ECE" w:rsidRDefault="00AB0ECE" w:rsidP="00896846">
      <w:pPr>
        <w:ind w:firstLine="708"/>
        <w:jc w:val="both"/>
      </w:pPr>
      <w:r>
        <w:t>-повышение профессионального уровня педагогов, распространение передовых методов работы учителей, имеющих высокие результаты обучения школьников;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  <w:rPr>
          <w:b/>
        </w:rPr>
      </w:pPr>
    </w:p>
    <w:p w:rsidR="00896846" w:rsidRDefault="005E00AA" w:rsidP="00896846">
      <w:pPr>
        <w:jc w:val="both"/>
        <w:rPr>
          <w:b/>
        </w:rPr>
      </w:pPr>
      <w:r w:rsidRPr="000F2E41">
        <w:t>По</w:t>
      </w:r>
      <w:r>
        <w:t>казатель № 12</w:t>
      </w:r>
      <w:r w:rsidR="00896846">
        <w:t xml:space="preserve">. </w:t>
      </w:r>
      <w:r w:rsidR="005918A3">
        <w:rPr>
          <w:b/>
        </w:rPr>
        <w:t>Доля выпускников муниципальных общеобразовательных учреждений</w:t>
      </w:r>
      <w:r w:rsidR="00896846">
        <w:rPr>
          <w:b/>
        </w:rPr>
        <w:t>, сдавших единый государственный экзамен по русскому языку и математике,  в общей  численности выпускников муниципальных общеобразоват</w:t>
      </w:r>
      <w:r>
        <w:rPr>
          <w:b/>
        </w:rPr>
        <w:t>ельных учреждений, сдавав</w:t>
      </w:r>
      <w:r w:rsidR="00060340">
        <w:rPr>
          <w:b/>
        </w:rPr>
        <w:t>ших единый</w:t>
      </w:r>
      <w:r>
        <w:rPr>
          <w:b/>
        </w:rPr>
        <w:t xml:space="preserve"> государственный экзамен</w:t>
      </w:r>
      <w:r w:rsidR="00896846">
        <w:rPr>
          <w:b/>
        </w:rPr>
        <w:t xml:space="preserve"> по данным предметам:</w:t>
      </w:r>
    </w:p>
    <w:p w:rsidR="00896846" w:rsidRDefault="009F6862" w:rsidP="00896846">
      <w:pPr>
        <w:jc w:val="both"/>
      </w:pPr>
      <w:r>
        <w:t>Отменен.</w:t>
      </w:r>
    </w:p>
    <w:p w:rsidR="009F6862" w:rsidRDefault="009F6862" w:rsidP="00896846">
      <w:pPr>
        <w:jc w:val="both"/>
      </w:pPr>
    </w:p>
    <w:p w:rsidR="00896846" w:rsidRDefault="005E00AA" w:rsidP="00896846">
      <w:pPr>
        <w:jc w:val="both"/>
        <w:rPr>
          <w:b/>
        </w:rPr>
      </w:pPr>
      <w:r w:rsidRPr="00210722">
        <w:t>Показатель № 13</w:t>
      </w:r>
      <w:r w:rsidR="00896846" w:rsidRPr="00210722">
        <w:t>.</w:t>
      </w:r>
      <w:r w:rsidR="00896846">
        <w:t xml:space="preserve"> </w:t>
      </w:r>
      <w:r>
        <w:rPr>
          <w:b/>
        </w:rPr>
        <w:t>Доля</w:t>
      </w:r>
      <w:r w:rsidR="00896846">
        <w:rPr>
          <w:b/>
        </w:rPr>
        <w:t xml:space="preserve"> выпускников муниципальных общеобразовательных учреждений, не получивших аттестат о среднем (полном) образовании</w:t>
      </w:r>
      <w:r>
        <w:rPr>
          <w:b/>
        </w:rPr>
        <w:t>, в общей численности выпускников муниципальных общеобразовательных учреждений</w:t>
      </w:r>
      <w:r w:rsidR="00896846">
        <w:rPr>
          <w:b/>
        </w:rPr>
        <w:t>:</w:t>
      </w:r>
    </w:p>
    <w:p w:rsidR="00C92F50" w:rsidRDefault="00C92F5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2,04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1,82</w:t>
            </w:r>
          </w:p>
        </w:tc>
        <w:tc>
          <w:tcPr>
            <w:tcW w:w="1107" w:type="dxa"/>
          </w:tcPr>
          <w:p w:rsidR="00667E04" w:rsidRDefault="00210722" w:rsidP="00210722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210722" w:rsidP="00896846">
      <w:pPr>
        <w:ind w:firstLine="708"/>
        <w:jc w:val="both"/>
      </w:pPr>
      <w:r>
        <w:t>В 2019 году все 63</w:t>
      </w:r>
      <w:r w:rsidR="005E00AA">
        <w:t xml:space="preserve"> выпускник</w:t>
      </w:r>
      <w:r>
        <w:t>а</w:t>
      </w:r>
      <w:r w:rsidR="00896846">
        <w:t xml:space="preserve"> о</w:t>
      </w:r>
      <w:r w:rsidR="006A3521">
        <w:t xml:space="preserve">бщеобразовательных учреждений </w:t>
      </w:r>
      <w:proofErr w:type="gramStart"/>
      <w:r w:rsidR="006A3521">
        <w:t>преодолели минимальные пороги баллов по предметам и</w:t>
      </w:r>
      <w:r w:rsidR="00896846">
        <w:t xml:space="preserve"> получили</w:t>
      </w:r>
      <w:proofErr w:type="gramEnd"/>
      <w:r w:rsidR="00896846">
        <w:t xml:space="preserve"> аттестат о </w:t>
      </w:r>
      <w:r w:rsidR="005D0138">
        <w:t>среднем (полном) образовании</w:t>
      </w:r>
      <w:r w:rsidR="00896846">
        <w:t>.</w:t>
      </w:r>
      <w:r w:rsidR="006A3521">
        <w:t xml:space="preserve"> Доля выпускников, не получивших аттестат о среднем (</w:t>
      </w:r>
      <w:r w:rsidR="002C2758">
        <w:t>пол</w:t>
      </w:r>
      <w:r>
        <w:t>ном) образовании составляет 0</w:t>
      </w:r>
      <w:r w:rsidR="006A3521">
        <w:t xml:space="preserve"> процентов.</w:t>
      </w:r>
      <w:r w:rsidR="005D0138">
        <w:t xml:space="preserve"> В </w:t>
      </w:r>
      <w:r w:rsidR="00BE36C3">
        <w:t>прогнозный период</w:t>
      </w:r>
      <w:r w:rsidR="005D0138" w:rsidRPr="005D0138">
        <w:t xml:space="preserve"> доля выпускников, не получивших аттестат о</w:t>
      </w:r>
      <w:r w:rsidR="00BE36C3">
        <w:t xml:space="preserve"> среднем (полном) образовании </w:t>
      </w:r>
      <w:r w:rsidR="00C6349C">
        <w:t xml:space="preserve"> не </w:t>
      </w:r>
      <w:r w:rsidR="00BE36C3">
        <w:t>прогнозируетс</w:t>
      </w:r>
      <w:r w:rsidR="00C92F50">
        <w:t>я за счет проведения индивидуальных консультаций с выпускниками, имеющими низкие образовательные результаты.</w:t>
      </w:r>
    </w:p>
    <w:p w:rsidR="00896846" w:rsidRDefault="00896846" w:rsidP="00896846">
      <w:pPr>
        <w:jc w:val="both"/>
        <w:rPr>
          <w:b/>
        </w:rPr>
      </w:pPr>
    </w:p>
    <w:p w:rsidR="00896846" w:rsidRDefault="007776A7" w:rsidP="00896846">
      <w:pPr>
        <w:jc w:val="both"/>
        <w:rPr>
          <w:b/>
        </w:rPr>
      </w:pPr>
      <w:r w:rsidRPr="00EF035E">
        <w:t>Показатель № 14</w:t>
      </w:r>
      <w:r w:rsidR="00896846" w:rsidRPr="00EF035E">
        <w:t>.</w:t>
      </w:r>
      <w:r w:rsidR="00896846">
        <w:t xml:space="preserve"> </w:t>
      </w:r>
      <w:r>
        <w:rPr>
          <w:b/>
        </w:rPr>
        <w:t>Доля</w:t>
      </w:r>
      <w:r w:rsidR="00896846">
        <w:rPr>
          <w:b/>
        </w:rPr>
        <w:t xml:space="preserve"> муниципальных общеобразовательных учреждений, </w:t>
      </w:r>
      <w:r>
        <w:rPr>
          <w:b/>
        </w:rPr>
        <w:t>соответствующих современным требованиям обучения, в общем количестве муниципальных общеобразовательных учреждений</w:t>
      </w:r>
      <w:r w:rsidR="00896846">
        <w:rPr>
          <w:b/>
        </w:rPr>
        <w:t>:</w:t>
      </w:r>
    </w:p>
    <w:p w:rsidR="00034740" w:rsidRDefault="0003474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034740">
            <w:pPr>
              <w:jc w:val="center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74,8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80,0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81,26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82,03</w:t>
            </w:r>
          </w:p>
        </w:tc>
        <w:tc>
          <w:tcPr>
            <w:tcW w:w="1107" w:type="dxa"/>
          </w:tcPr>
          <w:p w:rsidR="00667E04" w:rsidRDefault="00EF035E" w:rsidP="00443D78">
            <w:pPr>
              <w:jc w:val="center"/>
            </w:pPr>
            <w:r>
              <w:t>83,60</w:t>
            </w:r>
          </w:p>
        </w:tc>
        <w:tc>
          <w:tcPr>
            <w:tcW w:w="1107" w:type="dxa"/>
          </w:tcPr>
          <w:p w:rsidR="00667E04" w:rsidRDefault="00EF035E" w:rsidP="00443D78">
            <w:pPr>
              <w:jc w:val="center"/>
            </w:pPr>
            <w:r>
              <w:t>86,63</w:t>
            </w:r>
          </w:p>
        </w:tc>
        <w:tc>
          <w:tcPr>
            <w:tcW w:w="1108" w:type="dxa"/>
          </w:tcPr>
          <w:p w:rsidR="00667E04" w:rsidRDefault="00EF035E" w:rsidP="00443D78">
            <w:pPr>
              <w:jc w:val="center"/>
            </w:pPr>
            <w:r>
              <w:t>86,63</w:t>
            </w:r>
          </w:p>
        </w:tc>
        <w:tc>
          <w:tcPr>
            <w:tcW w:w="1108" w:type="dxa"/>
          </w:tcPr>
          <w:p w:rsidR="00667E04" w:rsidRDefault="00EF035E" w:rsidP="00443D78">
            <w:pPr>
              <w:jc w:val="center"/>
            </w:pPr>
            <w:r>
              <w:t>99,48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EF035E" w:rsidP="00896846">
      <w:pPr>
        <w:ind w:firstLine="708"/>
        <w:jc w:val="both"/>
      </w:pPr>
      <w:r>
        <w:t>В 2019</w:t>
      </w:r>
      <w:r w:rsidR="007776A7">
        <w:t xml:space="preserve"> году </w:t>
      </w:r>
      <w:r w:rsidR="006A3521">
        <w:t xml:space="preserve"> доля муниципальных</w:t>
      </w:r>
      <w:r w:rsidR="00896846">
        <w:t xml:space="preserve"> общеобразовательн</w:t>
      </w:r>
      <w:r w:rsidR="007776A7">
        <w:t>ых учреждений, соответствующих современным требованиям обучения</w:t>
      </w:r>
      <w:r w:rsidR="006A3521">
        <w:t xml:space="preserve"> в общем количестве муниципальных общеобразоват</w:t>
      </w:r>
      <w:r w:rsidR="00BE36C3">
        <w:t>ельных учреждений с</w:t>
      </w:r>
      <w:r>
        <w:t>оставила 83,60</w:t>
      </w:r>
      <w:r w:rsidR="00C6349C">
        <w:t xml:space="preserve"> %</w:t>
      </w:r>
      <w:r w:rsidR="00896846">
        <w:t>.</w:t>
      </w:r>
      <w:r w:rsidR="006A3521">
        <w:t xml:space="preserve"> Рост</w:t>
      </w:r>
      <w:r w:rsidR="00453F77">
        <w:t xml:space="preserve"> показателя обусловлен</w:t>
      </w:r>
      <w:r w:rsidR="00C6349C">
        <w:t xml:space="preserve"> увеличением процента обеспеченности видами благоустройства (наличия интернета, сайта, пожарной сигнализации, дымовых </w:t>
      </w:r>
      <w:proofErr w:type="spellStart"/>
      <w:r w:rsidR="00C6349C">
        <w:t>извещателей</w:t>
      </w:r>
      <w:proofErr w:type="spellEnd"/>
      <w:r w:rsidR="00C6349C">
        <w:t>, буфета, актового зала, библиотеки, беспрепятственного доступа инвалидов)</w:t>
      </w:r>
      <w:r w:rsidR="00453F77">
        <w:t>.</w:t>
      </w:r>
      <w:r w:rsidR="00C6349C">
        <w:t xml:space="preserve"> Лишь 22,5 процентов школ имеют все виды благоустройства.</w:t>
      </w:r>
      <w:r w:rsidR="007776A7">
        <w:t xml:space="preserve"> </w:t>
      </w:r>
      <w:r w:rsidR="00453F77">
        <w:t>В прогнозируемом периоде планиру</w:t>
      </w:r>
      <w:r w:rsidR="002C2758">
        <w:t>ется по</w:t>
      </w:r>
      <w:r>
        <w:t>высить показатель до 99,48</w:t>
      </w:r>
      <w:r w:rsidR="00453F77">
        <w:t xml:space="preserve"> %</w:t>
      </w:r>
      <w:r w:rsidR="00826F16">
        <w:t xml:space="preserve"> за счет</w:t>
      </w:r>
      <w:r w:rsidR="00C6349C">
        <w:t xml:space="preserve"> использования</w:t>
      </w:r>
      <w:r w:rsidR="00826F16">
        <w:t xml:space="preserve"> средств федерального бюджета и местного бюджет</w:t>
      </w:r>
      <w:r w:rsidR="00C6349C">
        <w:t>а по организации соответствующих видов благоустройства</w:t>
      </w:r>
      <w:r w:rsidR="007776A7">
        <w:t>.</w:t>
      </w:r>
    </w:p>
    <w:p w:rsidR="00896846" w:rsidRDefault="00896846" w:rsidP="00896846">
      <w:pPr>
        <w:jc w:val="both"/>
      </w:pPr>
    </w:p>
    <w:p w:rsidR="00896846" w:rsidRDefault="007776A7" w:rsidP="00896846">
      <w:pPr>
        <w:jc w:val="both"/>
        <w:rPr>
          <w:b/>
        </w:rPr>
      </w:pPr>
      <w:r w:rsidRPr="00040810">
        <w:t>Показатель № 15</w:t>
      </w:r>
      <w:r w:rsidR="00896846" w:rsidRPr="00040810">
        <w:t>.</w:t>
      </w:r>
      <w:r w:rsidR="00896846">
        <w:t xml:space="preserve"> </w:t>
      </w:r>
      <w:r>
        <w:rPr>
          <w:b/>
        </w:rPr>
        <w:t>Доля</w:t>
      </w:r>
      <w:r w:rsidR="00896846">
        <w:rPr>
          <w:b/>
        </w:rPr>
        <w:t xml:space="preserve"> муниципальных общеобразовательных учреждений, здания которых находятся в аварийном состоянии или требуют капитального ремонта</w:t>
      </w:r>
      <w:r>
        <w:rPr>
          <w:b/>
        </w:rPr>
        <w:t>, в общем количестве муниципальных общеобразовательных учреждений</w:t>
      </w:r>
      <w:r w:rsidR="00896846">
        <w:rPr>
          <w:b/>
        </w:rPr>
        <w:t>:</w:t>
      </w:r>
    </w:p>
    <w:p w:rsidR="00034740" w:rsidRDefault="0003474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034740">
            <w:pPr>
              <w:jc w:val="center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11,11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12,50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12,50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12,50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12,5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</w:tr>
    </w:tbl>
    <w:p w:rsidR="005C3C82" w:rsidRDefault="005C3C82" w:rsidP="00896846">
      <w:pPr>
        <w:jc w:val="both"/>
      </w:pPr>
    </w:p>
    <w:p w:rsidR="00805BFE" w:rsidRDefault="00805BFE" w:rsidP="00805BFE">
      <w:pPr>
        <w:ind w:firstLine="708"/>
        <w:jc w:val="both"/>
      </w:pPr>
      <w:r w:rsidRPr="00805BFE">
        <w:t>Доля муниципальных общеобразовательных учреждений, здания которых требуют капитального ремонта, сост</w:t>
      </w:r>
      <w:r w:rsidR="00040810">
        <w:t>авила в 2019</w:t>
      </w:r>
      <w:r w:rsidR="00034740">
        <w:t xml:space="preserve"> году 12,5 %.</w:t>
      </w:r>
      <w:r w:rsidR="00496906">
        <w:t xml:space="preserve"> </w:t>
      </w:r>
      <w:r w:rsidR="00826F16">
        <w:t>Капитально</w:t>
      </w:r>
      <w:r w:rsidR="00040810">
        <w:t>го ремонта требует здание МОАУ «</w:t>
      </w:r>
      <w:proofErr w:type="spellStart"/>
      <w:r w:rsidR="00040810">
        <w:t>Красногорская</w:t>
      </w:r>
      <w:proofErr w:type="spellEnd"/>
      <w:r w:rsidR="00040810">
        <w:t xml:space="preserve"> гимназия». В последующие три года </w:t>
      </w:r>
      <w:r w:rsidR="00B476A9">
        <w:t xml:space="preserve">доля </w:t>
      </w:r>
      <w:r w:rsidR="00B476A9" w:rsidRPr="00805BFE">
        <w:t>муниципальных общеобразовательных учреждений, здания которых требуют капитального ремонта</w:t>
      </w:r>
      <w:r w:rsidR="00040810">
        <w:t xml:space="preserve">, составит </w:t>
      </w:r>
      <w:r w:rsidR="00B476A9">
        <w:t xml:space="preserve"> 0%.</w:t>
      </w:r>
      <w:r w:rsidR="00BE36C3">
        <w:t xml:space="preserve"> </w:t>
      </w:r>
    </w:p>
    <w:p w:rsidR="00B476A9" w:rsidRDefault="00B476A9" w:rsidP="00805BFE">
      <w:pPr>
        <w:ind w:firstLine="708"/>
        <w:jc w:val="both"/>
      </w:pPr>
    </w:p>
    <w:p w:rsidR="00896846" w:rsidRDefault="00805BFE" w:rsidP="00896846">
      <w:pPr>
        <w:jc w:val="both"/>
      </w:pPr>
      <w:r w:rsidRPr="00E5670E">
        <w:t>Показатель № 16</w:t>
      </w:r>
      <w:r w:rsidR="00896846" w:rsidRPr="00E5670E">
        <w:t>.</w:t>
      </w:r>
      <w:r w:rsidR="00896846">
        <w:t xml:space="preserve"> </w:t>
      </w:r>
      <w:r w:rsidR="00896846">
        <w:rPr>
          <w:b/>
        </w:rPr>
        <w:t>Доля детей первой и второй групп здоровья в общей численности обучающихся в муниципальных общеобразовательных учреждениях</w:t>
      </w:r>
      <w:r w:rsidR="00896846">
        <w:t>:</w:t>
      </w:r>
    </w:p>
    <w:p w:rsidR="00044D56" w:rsidRDefault="00044D56" w:rsidP="0089684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044D56">
            <w:pPr>
              <w:jc w:val="center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90,37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88,71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89,58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91,22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81,93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89,48</w:t>
            </w:r>
          </w:p>
        </w:tc>
        <w:tc>
          <w:tcPr>
            <w:tcW w:w="1108" w:type="dxa"/>
          </w:tcPr>
          <w:p w:rsidR="00667E04" w:rsidRDefault="00040810" w:rsidP="00443D78">
            <w:pPr>
              <w:jc w:val="center"/>
            </w:pPr>
            <w:r>
              <w:t>89,67</w:t>
            </w:r>
          </w:p>
        </w:tc>
        <w:tc>
          <w:tcPr>
            <w:tcW w:w="1108" w:type="dxa"/>
          </w:tcPr>
          <w:p w:rsidR="00667E04" w:rsidRDefault="00040810" w:rsidP="00443D78">
            <w:pPr>
              <w:jc w:val="center"/>
            </w:pPr>
            <w:r>
              <w:t>89,97</w:t>
            </w:r>
          </w:p>
        </w:tc>
      </w:tr>
    </w:tbl>
    <w:p w:rsidR="005C3C82" w:rsidRDefault="005C3C82" w:rsidP="00896846">
      <w:pPr>
        <w:jc w:val="both"/>
      </w:pPr>
    </w:p>
    <w:p w:rsidR="00896846" w:rsidRDefault="00896846" w:rsidP="00896846">
      <w:pPr>
        <w:ind w:firstLine="708"/>
        <w:jc w:val="both"/>
      </w:pPr>
      <w:r>
        <w:t>Доля детей первой и второй групп здоровья</w:t>
      </w:r>
      <w:r w:rsidR="00496906">
        <w:t>,</w:t>
      </w:r>
      <w:r>
        <w:t xml:space="preserve"> в общей </w:t>
      </w:r>
      <w:proofErr w:type="gramStart"/>
      <w:r>
        <w:t>численности</w:t>
      </w:r>
      <w:proofErr w:type="gramEnd"/>
      <w:r>
        <w:t xml:space="preserve"> обучающихся в муниципальных общеоб</w:t>
      </w:r>
      <w:r w:rsidR="00E5670E">
        <w:t>разовательных учреждениях в 2019 году составила 81,93</w:t>
      </w:r>
      <w:r w:rsidR="00A01F6F">
        <w:t xml:space="preserve"> процент</w:t>
      </w:r>
      <w:r w:rsidR="00E5670E">
        <w:t>а или 848</w:t>
      </w:r>
      <w:r w:rsidR="00A01F6F">
        <w:t xml:space="preserve"> ученик</w:t>
      </w:r>
      <w:r w:rsidR="00E5670E">
        <w:t>а из 1035</w:t>
      </w:r>
      <w:r>
        <w:t>. В сравнени</w:t>
      </w:r>
      <w:r w:rsidR="00E5670E">
        <w:t>и с уровнем 2018 года показатель снизился на 9,29</w:t>
      </w:r>
      <w:r>
        <w:t xml:space="preserve"> процентных пункта</w:t>
      </w:r>
      <w:r w:rsidR="00496906">
        <w:t xml:space="preserve"> в ре</w:t>
      </w:r>
      <w:r w:rsidR="00B476A9">
        <w:t>зультате</w:t>
      </w:r>
      <w:r w:rsidR="00E5670E">
        <w:t xml:space="preserve"> ослабления работы с учащимся в части вовлечения в занятия спортом, а также перевода части заболеваний в 2019 году в третью группу здоровья</w:t>
      </w:r>
      <w:r>
        <w:t xml:space="preserve">. В </w:t>
      </w:r>
      <w:r>
        <w:lastRenderedPageBreak/>
        <w:t>последующие три г</w:t>
      </w:r>
      <w:r w:rsidR="00E5670E">
        <w:t>ода предусматривается</w:t>
      </w:r>
      <w:r w:rsidR="00044D56">
        <w:t xml:space="preserve"> </w:t>
      </w:r>
      <w:r w:rsidR="00991DBA">
        <w:t>повыси</w:t>
      </w:r>
      <w:r w:rsidR="00E5670E">
        <w:t xml:space="preserve">ть долю детей первой и второй групп здоровья, в общей </w:t>
      </w:r>
      <w:proofErr w:type="gramStart"/>
      <w:r w:rsidR="00E5670E">
        <w:t>численности</w:t>
      </w:r>
      <w:proofErr w:type="gramEnd"/>
      <w:r w:rsidR="00E5670E">
        <w:t xml:space="preserve"> обучающихся</w:t>
      </w:r>
      <w:r>
        <w:t xml:space="preserve"> в</w:t>
      </w:r>
      <w:r w:rsidR="00044D56">
        <w:t xml:space="preserve"> пределах</w:t>
      </w:r>
      <w:r w:rsidR="00E5670E">
        <w:t xml:space="preserve"> 89,48 – 89,97</w:t>
      </w:r>
      <w:r>
        <w:t xml:space="preserve"> процентов</w:t>
      </w:r>
      <w:r w:rsidR="00496906">
        <w:t xml:space="preserve"> за счет стабилизации численности детей, имеющих </w:t>
      </w:r>
      <w:r w:rsidR="00FE6A6D">
        <w:t>п</w:t>
      </w:r>
      <w:r w:rsidR="00AE3880">
        <w:t xml:space="preserve">ервую и вторую группы здоровья </w:t>
      </w:r>
      <w:r w:rsidR="00991DBA">
        <w:t xml:space="preserve">при усилении работы </w:t>
      </w:r>
      <w:r w:rsidR="00034740">
        <w:t>по всем направлениям</w:t>
      </w:r>
      <w:r w:rsidR="00991DBA">
        <w:t xml:space="preserve">, способствующим сохранению здоровья учащихся </w:t>
      </w:r>
      <w:r w:rsidR="00AE3880">
        <w:t>с учетом</w:t>
      </w:r>
      <w:r w:rsidR="00FE6A6D">
        <w:t xml:space="preserve"> варьирования численности учеников в общеобразовательных учреждениях</w:t>
      </w:r>
      <w:r>
        <w:t>.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05BFE" w:rsidP="00896846">
      <w:pPr>
        <w:jc w:val="both"/>
        <w:rPr>
          <w:b/>
        </w:rPr>
      </w:pPr>
      <w:r w:rsidRPr="00E5670E">
        <w:t>Показатель № 17</w:t>
      </w:r>
      <w:r w:rsidR="00896846" w:rsidRPr="00E5670E">
        <w:t>.</w:t>
      </w:r>
      <w:r w:rsidR="00896846">
        <w:t xml:space="preserve"> </w:t>
      </w:r>
      <w:r>
        <w:rPr>
          <w:b/>
        </w:rPr>
        <w:t>Доля обучающихся</w:t>
      </w:r>
      <w:r w:rsidR="00896846">
        <w:rPr>
          <w:b/>
        </w:rPr>
        <w:t xml:space="preserve"> в</w:t>
      </w:r>
      <w:r w:rsidR="00896846">
        <w:t xml:space="preserve"> </w:t>
      </w:r>
      <w:r w:rsidR="00896846">
        <w:rPr>
          <w:b/>
        </w:rPr>
        <w:t>муниципальных общеобразовательных</w:t>
      </w:r>
      <w:r>
        <w:rPr>
          <w:b/>
        </w:rPr>
        <w:t xml:space="preserve"> учреждениях,</w:t>
      </w:r>
      <w:r w:rsidR="001A6540">
        <w:rPr>
          <w:b/>
        </w:rPr>
        <w:t xml:space="preserve"> занимающихся во вторую (</w:t>
      </w:r>
      <w:r>
        <w:rPr>
          <w:b/>
        </w:rPr>
        <w:t xml:space="preserve">третью) смену, в общей численности обучающихся в </w:t>
      </w:r>
      <w:r w:rsidR="001A6540">
        <w:rPr>
          <w:b/>
        </w:rPr>
        <w:t>муниципальных общеобразовательных учреждениях</w:t>
      </w:r>
      <w:r w:rsidR="00896846">
        <w:rPr>
          <w:b/>
        </w:rPr>
        <w:t>:</w:t>
      </w:r>
    </w:p>
    <w:p w:rsidR="00044D56" w:rsidRDefault="00044D56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</w:tr>
    </w:tbl>
    <w:p w:rsidR="005C3C82" w:rsidRDefault="005C3C82" w:rsidP="00896846">
      <w:pPr>
        <w:jc w:val="both"/>
      </w:pPr>
    </w:p>
    <w:p w:rsidR="00896846" w:rsidRDefault="001A6540" w:rsidP="001A6540">
      <w:pPr>
        <w:ind w:firstLine="708"/>
        <w:jc w:val="both"/>
      </w:pPr>
      <w:r w:rsidRPr="001A6540"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1A6540">
        <w:t>численности</w:t>
      </w:r>
      <w:proofErr w:type="gramEnd"/>
      <w:r w:rsidRPr="001A6540">
        <w:t xml:space="preserve"> обучающихся в муниципальных общеоб</w:t>
      </w:r>
      <w:r w:rsidR="00E5670E">
        <w:t>разовательных учреждениях в 2019</w:t>
      </w:r>
      <w:r w:rsidRPr="001A6540">
        <w:t xml:space="preserve"> году</w:t>
      </w:r>
      <w:r>
        <w:t xml:space="preserve"> составила 0%</w:t>
      </w:r>
      <w:r w:rsidR="00E5670E">
        <w:t>. В 2020</w:t>
      </w:r>
      <w:r w:rsidR="00044D56">
        <w:t>-2</w:t>
      </w:r>
      <w:r w:rsidR="00E5670E">
        <w:t>022</w:t>
      </w:r>
      <w:r w:rsidR="00FE6A6D">
        <w:t xml:space="preserve"> годах</w:t>
      </w:r>
      <w:r w:rsidRPr="001A6540">
        <w:t xml:space="preserve"> обучающихся, занимающихся во втор</w:t>
      </w:r>
      <w:r w:rsidR="00FE6A6D">
        <w:t>ую (третью) смену не ожидается</w:t>
      </w:r>
      <w:r w:rsidRPr="001A6540">
        <w:t>.</w:t>
      </w:r>
    </w:p>
    <w:p w:rsidR="001A6540" w:rsidRDefault="001A6540" w:rsidP="001A6540">
      <w:pPr>
        <w:ind w:firstLine="708"/>
        <w:jc w:val="both"/>
      </w:pPr>
    </w:p>
    <w:p w:rsidR="00896846" w:rsidRDefault="001A6540" w:rsidP="00896846">
      <w:pPr>
        <w:jc w:val="both"/>
        <w:rPr>
          <w:b/>
        </w:rPr>
      </w:pPr>
      <w:r w:rsidRPr="00310076">
        <w:t>Показатель № 18</w:t>
      </w:r>
      <w:r w:rsidR="00896846" w:rsidRPr="00A64B43">
        <w:t>.</w:t>
      </w:r>
      <w:r w:rsidR="00896846">
        <w:t xml:space="preserve"> </w:t>
      </w:r>
      <w:r>
        <w:rPr>
          <w:b/>
        </w:rPr>
        <w:t>Расходы</w:t>
      </w:r>
      <w:r w:rsidR="00896846">
        <w:rPr>
          <w:b/>
        </w:rPr>
        <w:t xml:space="preserve"> бюджета муниципального образо</w:t>
      </w:r>
      <w:r>
        <w:rPr>
          <w:b/>
        </w:rPr>
        <w:t>вания на общее образование в расчете на 1 обучающегося в муниципальных общеобразовательных учреждениях</w:t>
      </w:r>
      <w:r w:rsidR="00896846">
        <w:rPr>
          <w:b/>
        </w:rPr>
        <w:t>:</w:t>
      </w:r>
    </w:p>
    <w:p w:rsidR="001B1DA9" w:rsidRDefault="001B1DA9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8452BF">
            <w:pPr>
              <w:jc w:val="center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AB393C">
            <w:pPr>
              <w:jc w:val="center"/>
            </w:pPr>
            <w:r>
              <w:t>16,42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19,34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19,70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26,95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26,21</w:t>
            </w:r>
          </w:p>
        </w:tc>
        <w:tc>
          <w:tcPr>
            <w:tcW w:w="1107" w:type="dxa"/>
          </w:tcPr>
          <w:p w:rsidR="00667E04" w:rsidRDefault="00040810" w:rsidP="00443D78">
            <w:pPr>
              <w:jc w:val="center"/>
            </w:pPr>
            <w:r>
              <w:t>16,74</w:t>
            </w:r>
          </w:p>
        </w:tc>
        <w:tc>
          <w:tcPr>
            <w:tcW w:w="1108" w:type="dxa"/>
          </w:tcPr>
          <w:p w:rsidR="00667E04" w:rsidRDefault="00040810" w:rsidP="00443D78">
            <w:pPr>
              <w:jc w:val="center"/>
            </w:pPr>
            <w:r>
              <w:t>16,74</w:t>
            </w:r>
          </w:p>
        </w:tc>
        <w:tc>
          <w:tcPr>
            <w:tcW w:w="1108" w:type="dxa"/>
          </w:tcPr>
          <w:p w:rsidR="00667E04" w:rsidRDefault="00040810" w:rsidP="00443D78">
            <w:pPr>
              <w:jc w:val="center"/>
            </w:pPr>
            <w:r>
              <w:t>16,74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1A6540" w:rsidP="00896846">
      <w:pPr>
        <w:ind w:firstLine="708"/>
        <w:jc w:val="both"/>
      </w:pPr>
      <w:r w:rsidRPr="001A6540">
        <w:t xml:space="preserve">Расходы </w:t>
      </w:r>
      <w:r w:rsidR="008452BF">
        <w:t xml:space="preserve">местного </w:t>
      </w:r>
      <w:r w:rsidR="00FE6A6D">
        <w:t xml:space="preserve">бюджета на общее образование в </w:t>
      </w:r>
      <w:r w:rsidR="00040810">
        <w:t>расчете на 1 обучающегося в 2019</w:t>
      </w:r>
      <w:r w:rsidRPr="001A6540">
        <w:t xml:space="preserve"> год</w:t>
      </w:r>
      <w:r w:rsidR="00040810">
        <w:t>у составили 26,21</w:t>
      </w:r>
      <w:r>
        <w:t xml:space="preserve"> </w:t>
      </w:r>
      <w:r w:rsidR="00C05FE3">
        <w:t xml:space="preserve"> тыс. </w:t>
      </w:r>
      <w:r>
        <w:t>руб. П</w:t>
      </w:r>
      <w:r w:rsidR="00991DBA">
        <w:t>о сравн</w:t>
      </w:r>
      <w:r w:rsidR="00040810">
        <w:t>ению с 2018 годом расходы снизились на 0,74</w:t>
      </w:r>
      <w:r w:rsidR="00C05FE3">
        <w:t xml:space="preserve"> тыс.</w:t>
      </w:r>
      <w:r w:rsidR="00155EC4">
        <w:t xml:space="preserve"> руб. </w:t>
      </w:r>
      <w:r w:rsidR="00A64B43">
        <w:t xml:space="preserve"> за счет</w:t>
      </w:r>
      <w:r w:rsidR="00040810">
        <w:t xml:space="preserve"> небольшого снижения затрат на энергоносители.  На плановый период 2020-2022</w:t>
      </w:r>
      <w:r w:rsidRPr="001A6540">
        <w:t xml:space="preserve"> годов </w:t>
      </w:r>
      <w:r w:rsidR="00310076">
        <w:t>снижение</w:t>
      </w:r>
      <w:r w:rsidR="00155EC4">
        <w:t xml:space="preserve"> </w:t>
      </w:r>
      <w:r w:rsidR="005541B9">
        <w:t xml:space="preserve">расходов </w:t>
      </w:r>
      <w:r w:rsidR="00155EC4">
        <w:t>бюд</w:t>
      </w:r>
      <w:r w:rsidR="008452BF">
        <w:t>жета на 1</w:t>
      </w:r>
      <w:r w:rsidR="00310076">
        <w:t xml:space="preserve"> обучающегося до 16,74 тыс. руб. связан с неполным отражением расходов на образование в  расходах бюджета на плановый период (субвенций из бюджета УР)</w:t>
      </w:r>
      <w:r w:rsidR="005541B9">
        <w:t xml:space="preserve">. </w:t>
      </w:r>
    </w:p>
    <w:p w:rsidR="00896846" w:rsidRDefault="00896846" w:rsidP="00896846"/>
    <w:p w:rsidR="00896846" w:rsidRDefault="001A6540" w:rsidP="00896846">
      <w:pPr>
        <w:jc w:val="both"/>
        <w:rPr>
          <w:b/>
        </w:rPr>
      </w:pPr>
      <w:r w:rsidRPr="00E5670E">
        <w:t>Показатель № 19</w:t>
      </w:r>
      <w:r w:rsidR="00896846" w:rsidRPr="00E5670E">
        <w:t>.</w:t>
      </w:r>
      <w:r w:rsidR="00896846">
        <w:t xml:space="preserve"> </w:t>
      </w:r>
      <w:r>
        <w:rPr>
          <w:b/>
        </w:rPr>
        <w:t xml:space="preserve">Доля </w:t>
      </w:r>
      <w:r w:rsidR="00896846">
        <w:rPr>
          <w:b/>
        </w:rPr>
        <w:t>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</w:t>
      </w:r>
      <w:r>
        <w:rPr>
          <w:b/>
        </w:rPr>
        <w:t>, в общей численности детей данной возрастной группы</w:t>
      </w:r>
      <w:r w:rsidR="00896846">
        <w:rPr>
          <w:b/>
        </w:rPr>
        <w:t>:</w:t>
      </w:r>
    </w:p>
    <w:p w:rsidR="006E4FAA" w:rsidRDefault="006E4FAA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8452BF">
            <w:pPr>
              <w:jc w:val="center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72,31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65,69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159,81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108,48</w:t>
            </w:r>
          </w:p>
        </w:tc>
        <w:tc>
          <w:tcPr>
            <w:tcW w:w="1107" w:type="dxa"/>
          </w:tcPr>
          <w:p w:rsidR="00667E04" w:rsidRDefault="00310076" w:rsidP="00443D78">
            <w:pPr>
              <w:jc w:val="center"/>
            </w:pPr>
            <w:r>
              <w:t>97,52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95,03</w:t>
            </w:r>
          </w:p>
        </w:tc>
        <w:tc>
          <w:tcPr>
            <w:tcW w:w="1108" w:type="dxa"/>
          </w:tcPr>
          <w:p w:rsidR="00667E04" w:rsidRDefault="00310076" w:rsidP="00443D78">
            <w:pPr>
              <w:jc w:val="center"/>
            </w:pPr>
            <w:r>
              <w:t>95,01</w:t>
            </w:r>
          </w:p>
        </w:tc>
        <w:tc>
          <w:tcPr>
            <w:tcW w:w="1108" w:type="dxa"/>
          </w:tcPr>
          <w:p w:rsidR="00667E04" w:rsidRDefault="00310076" w:rsidP="00443D78">
            <w:pPr>
              <w:jc w:val="center"/>
            </w:pPr>
            <w:r>
              <w:t>95,03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896846" w:rsidP="00896846">
      <w:pPr>
        <w:jc w:val="both"/>
        <w:rPr>
          <w:b/>
        </w:rPr>
      </w:pPr>
      <w:r>
        <w:tab/>
        <w:t xml:space="preserve">Численность детей </w:t>
      </w:r>
      <w:r w:rsidR="00E5670E">
        <w:t>в возрасте от 5 до 18 лет в 2019 году составляла 1414</w:t>
      </w:r>
      <w:r>
        <w:t xml:space="preserve"> человек</w:t>
      </w:r>
      <w:r w:rsidR="007657C3">
        <w:t>а</w:t>
      </w:r>
      <w:r>
        <w:t>. Охват детей системой дополнительного обр</w:t>
      </w:r>
      <w:r w:rsidR="00E5670E">
        <w:t>азования в 2019 году – 1379</w:t>
      </w:r>
      <w:r w:rsidR="00A64B43">
        <w:t xml:space="preserve"> ребенка</w:t>
      </w:r>
      <w:r>
        <w:t xml:space="preserve">. </w:t>
      </w:r>
      <w:r w:rsidR="00A0098D" w:rsidRPr="00A0098D">
        <w:t xml:space="preserve">Доля детей в возрасте 5 </w:t>
      </w:r>
      <w:r w:rsidR="002C5735">
        <w:t>–</w:t>
      </w:r>
      <w:r w:rsidR="00A0098D" w:rsidRPr="00A0098D">
        <w:t xml:space="preserve"> 18 лет, получающих услуги по дополнительному образованию, в общей численности детей данной во</w:t>
      </w:r>
      <w:r w:rsidR="00E5670E">
        <w:t>зрастной группы составила 97,52</w:t>
      </w:r>
      <w:r w:rsidR="001B1DA9">
        <w:t xml:space="preserve">% (в 2017 году – </w:t>
      </w:r>
      <w:r w:rsidR="00E5670E">
        <w:t>108,48</w:t>
      </w:r>
      <w:r w:rsidR="00304F45">
        <w:t xml:space="preserve">%). </w:t>
      </w:r>
      <w:r w:rsidR="00E5670E">
        <w:t xml:space="preserve"> Снижение доли детей, получающих услуги по дополнительному образованию</w:t>
      </w:r>
      <w:r w:rsidR="00017AFD">
        <w:t xml:space="preserve"> произошло в результате исключения из подсчета детей, занимающихся на элективных курсах и предметных кружках.</w:t>
      </w:r>
    </w:p>
    <w:p w:rsidR="00257D7F" w:rsidRDefault="00304F45" w:rsidP="002C6350">
      <w:pPr>
        <w:ind w:firstLine="708"/>
        <w:jc w:val="both"/>
      </w:pPr>
      <w:r>
        <w:t xml:space="preserve">В прогнозный период </w:t>
      </w:r>
      <w:r w:rsidR="002C6350">
        <w:t>планируется долю</w:t>
      </w:r>
      <w:r>
        <w:t xml:space="preserve"> детей в возрасте 5-18 лет</w:t>
      </w:r>
      <w:r w:rsidR="00033164">
        <w:t xml:space="preserve">, </w:t>
      </w:r>
      <w:r>
        <w:t>получающих услуги по допол</w:t>
      </w:r>
      <w:r w:rsidR="00033164">
        <w:t xml:space="preserve">нительному образованию </w:t>
      </w:r>
      <w:r w:rsidR="002C6350">
        <w:t>под</w:t>
      </w:r>
      <w:r w:rsidR="001B1DA9">
        <w:t>держивать на уровне не  95%</w:t>
      </w:r>
      <w:r w:rsidR="002C6350">
        <w:t>.</w:t>
      </w:r>
    </w:p>
    <w:p w:rsidR="002C6350" w:rsidRDefault="002C6350" w:rsidP="002C6350">
      <w:pPr>
        <w:ind w:firstLine="708"/>
        <w:jc w:val="both"/>
      </w:pPr>
    </w:p>
    <w:p w:rsidR="00A0098D" w:rsidRDefault="00A0098D" w:rsidP="00A0098D">
      <w:pPr>
        <w:jc w:val="center"/>
        <w:rPr>
          <w:b/>
        </w:rPr>
      </w:pPr>
      <w:r w:rsidRPr="00A0098D">
        <w:rPr>
          <w:b/>
          <w:lang w:val="en-US"/>
        </w:rPr>
        <w:t>IV</w:t>
      </w:r>
      <w:r w:rsidRPr="00A0098D">
        <w:rPr>
          <w:b/>
        </w:rPr>
        <w:t xml:space="preserve">. </w:t>
      </w:r>
      <w:r w:rsidRPr="00662608">
        <w:rPr>
          <w:b/>
        </w:rPr>
        <w:t xml:space="preserve"> </w:t>
      </w:r>
      <w:r w:rsidRPr="00A0098D">
        <w:rPr>
          <w:b/>
        </w:rPr>
        <w:t>КУЛЬТУРА И ИСКУССТВО</w:t>
      </w:r>
    </w:p>
    <w:p w:rsidR="00662608" w:rsidRDefault="00662608" w:rsidP="00A0098D">
      <w:pPr>
        <w:jc w:val="center"/>
        <w:rPr>
          <w:b/>
        </w:rPr>
      </w:pPr>
    </w:p>
    <w:p w:rsidR="00045005" w:rsidRPr="00446EE3" w:rsidRDefault="00045005" w:rsidP="00446EE3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446EE3">
        <w:t>Деятельность Отдела культуры, спор</w:t>
      </w:r>
      <w:r w:rsidR="002C6350">
        <w:t>та и молодёжной политики в  2</w:t>
      </w:r>
      <w:r w:rsidR="00BA4A10">
        <w:t>019</w:t>
      </w:r>
      <w:r w:rsidR="00446EE3">
        <w:t xml:space="preserve"> году была направлена на организацию досуга населения, развитие народного творчества, </w:t>
      </w:r>
      <w:r w:rsidR="00446EE3">
        <w:lastRenderedPageBreak/>
        <w:t xml:space="preserve">предоставление услуг библиотечного фонда, получение образования в области культуры и искусства, </w:t>
      </w:r>
      <w:r w:rsidRPr="00446EE3">
        <w:t xml:space="preserve">сохранение нематериального культурного наследия, развитие и пропаганду традиционной культуры и межмуниципального культурного сотрудничества. </w:t>
      </w:r>
      <w:r w:rsidR="00CE72D4">
        <w:t>В районе действуют 12</w:t>
      </w:r>
      <w:r w:rsidR="00446EE3">
        <w:t xml:space="preserve"> культурно-досуговых учреждений, 14 библиот</w:t>
      </w:r>
      <w:r w:rsidR="00CE72D4">
        <w:t>ек, М</w:t>
      </w:r>
      <w:r w:rsidR="00446EE3">
        <w:t>униципальный краеведческий музей, Детская школа искусств, Дом ремесел, Молодежный центр «Встреча».</w:t>
      </w:r>
    </w:p>
    <w:p w:rsidR="00BA2C1D" w:rsidRDefault="00045005" w:rsidP="00446EE3">
      <w:pPr>
        <w:jc w:val="both"/>
      </w:pPr>
      <w:r w:rsidRPr="00446EE3">
        <w:rPr>
          <w:b/>
          <w:bCs/>
        </w:rPr>
        <w:t xml:space="preserve">   </w:t>
      </w:r>
      <w:r w:rsidR="00BA4A10">
        <w:rPr>
          <w:bCs/>
        </w:rPr>
        <w:t>В течение 2019</w:t>
      </w:r>
      <w:r w:rsidRPr="00446EE3">
        <w:rPr>
          <w:bCs/>
        </w:rPr>
        <w:t xml:space="preserve"> года культурно-досуговыми учрежде</w:t>
      </w:r>
      <w:r w:rsidR="00446EE3">
        <w:rPr>
          <w:bCs/>
        </w:rPr>
        <w:t xml:space="preserve">ниями района были проведены </w:t>
      </w:r>
      <w:r w:rsidR="00BA4A10">
        <w:rPr>
          <w:bCs/>
        </w:rPr>
        <w:t>1863</w:t>
      </w:r>
      <w:r w:rsidR="000C1F14">
        <w:rPr>
          <w:bCs/>
        </w:rPr>
        <w:t xml:space="preserve"> различных мероприятий</w:t>
      </w:r>
      <w:r w:rsidR="0050688D">
        <w:rPr>
          <w:bCs/>
        </w:rPr>
        <w:t>,</w:t>
      </w:r>
      <w:r w:rsidRPr="00446EE3">
        <w:rPr>
          <w:bCs/>
        </w:rPr>
        <w:t xml:space="preserve"> </w:t>
      </w:r>
      <w:r w:rsidR="000C1F14">
        <w:t>направленных</w:t>
      </w:r>
      <w:r w:rsidR="00BD576F">
        <w:t xml:space="preserve"> на обеспечение условий для развития самодеятельного художественного творчества,</w:t>
      </w:r>
      <w:r w:rsidR="00446EE3" w:rsidRPr="00446EE3">
        <w:t xml:space="preserve"> на патриотическое, экологическое воспитание, пропаганду чтения и здорового образа жизни.   Сохранению, развитию и пропаганде народных промыслов способствует деятельность Красногорского Дома ремесел</w:t>
      </w:r>
      <w:r w:rsidR="000C1F14">
        <w:t>, действующего по 10 направлениям</w:t>
      </w:r>
      <w:r w:rsidR="00446EE3" w:rsidRPr="00446EE3">
        <w:t>.</w:t>
      </w:r>
      <w:r w:rsidR="00BD576F">
        <w:t xml:space="preserve"> </w:t>
      </w:r>
    </w:p>
    <w:p w:rsidR="00662608" w:rsidRDefault="00735609" w:rsidP="00BA2C1D">
      <w:pPr>
        <w:ind w:firstLine="708"/>
        <w:jc w:val="both"/>
        <w:rPr>
          <w:rFonts w:ascii="Times New Roman CYR" w:hAnsi="Times New Roman CYR" w:cs="Times New Roman CYR"/>
        </w:rPr>
      </w:pPr>
      <w:r>
        <w:t xml:space="preserve">Всего имеется </w:t>
      </w:r>
      <w:r w:rsidR="00BA4A10">
        <w:t>108 клубных формирований с численностью посещающих 1520</w:t>
      </w:r>
      <w:r w:rsidR="008445E8" w:rsidRPr="00EC704C">
        <w:t xml:space="preserve"> человек.</w:t>
      </w:r>
      <w:r w:rsidR="00BD576F" w:rsidRPr="00EC704C">
        <w:t xml:space="preserve"> </w:t>
      </w:r>
      <w:r w:rsidR="00BA4A10">
        <w:t>68</w:t>
      </w:r>
      <w:r w:rsidRPr="00EC704C">
        <w:t xml:space="preserve"> </w:t>
      </w:r>
      <w:r w:rsidR="0050688D" w:rsidRPr="00EC704C">
        <w:t>% населения охвачено библиотечным обслужив</w:t>
      </w:r>
      <w:r w:rsidR="000C1F14" w:rsidRPr="00EC704C">
        <w:t>анием, Дом ремес</w:t>
      </w:r>
      <w:r w:rsidRPr="00EC704C">
        <w:t>ел организовал</w:t>
      </w:r>
      <w:r>
        <w:t xml:space="preserve"> в течение года </w:t>
      </w:r>
      <w:r w:rsidR="00F6010A">
        <w:t>11 районных,</w:t>
      </w:r>
      <w:r w:rsidR="00BA4A10">
        <w:t xml:space="preserve"> 12 выездных выставок</w:t>
      </w:r>
      <w:r w:rsidR="00E564CE">
        <w:t>, у</w:t>
      </w:r>
      <w:r w:rsidR="00BA4A10">
        <w:t xml:space="preserve">частвовал в </w:t>
      </w:r>
      <w:r w:rsidR="00E564CE">
        <w:t xml:space="preserve"> 4</w:t>
      </w:r>
      <w:r w:rsidR="00F6010A">
        <w:t xml:space="preserve"> республиканских</w:t>
      </w:r>
      <w:r w:rsidR="00E564CE">
        <w:t xml:space="preserve"> выставках</w:t>
      </w:r>
      <w:r w:rsidR="000C1F14">
        <w:t xml:space="preserve"> изделий </w:t>
      </w:r>
      <w:r w:rsidR="0050688D">
        <w:t xml:space="preserve"> декоративно-прикладного искусства</w:t>
      </w:r>
      <w:r w:rsidR="00F6010A">
        <w:t xml:space="preserve">, </w:t>
      </w:r>
      <w:r w:rsidR="00E564CE">
        <w:t>проведено 45 экскурсий, 11</w:t>
      </w:r>
      <w:r w:rsidR="00F6010A">
        <w:t xml:space="preserve"> мастер-классов</w:t>
      </w:r>
      <w:r w:rsidR="0050688D">
        <w:t>.</w:t>
      </w:r>
      <w:r w:rsidR="00F6010A">
        <w:t xml:space="preserve"> </w:t>
      </w:r>
      <w:r w:rsidR="00F6010A" w:rsidRPr="00F6010A">
        <w:rPr>
          <w:rFonts w:ascii="Times New Roman CYR" w:hAnsi="Times New Roman CYR" w:cs="Times New Roman CYR"/>
        </w:rPr>
        <w:t>Сотрудни</w:t>
      </w:r>
      <w:r w:rsidR="00E564CE">
        <w:rPr>
          <w:rFonts w:ascii="Times New Roman CYR" w:hAnsi="Times New Roman CYR" w:cs="Times New Roman CYR"/>
        </w:rPr>
        <w:t>ками музея было организовано 129 экскурсий, проведено 48 мероприятий и подготовлено 20</w:t>
      </w:r>
      <w:r w:rsidR="00F6010A" w:rsidRPr="00F6010A">
        <w:rPr>
          <w:rFonts w:ascii="Times New Roman CYR" w:hAnsi="Times New Roman CYR" w:cs="Times New Roman CYR"/>
        </w:rPr>
        <w:t xml:space="preserve"> выставок</w:t>
      </w:r>
      <w:r w:rsidR="00F6010A">
        <w:rPr>
          <w:rFonts w:ascii="Times New Roman CYR" w:hAnsi="Times New Roman CYR" w:cs="Times New Roman CYR"/>
        </w:rPr>
        <w:t>.</w:t>
      </w:r>
    </w:p>
    <w:p w:rsidR="00F6010A" w:rsidRPr="00F6010A" w:rsidRDefault="00F6010A" w:rsidP="00F6010A">
      <w:pPr>
        <w:ind w:firstLine="612"/>
        <w:jc w:val="both"/>
        <w:rPr>
          <w:rFonts w:eastAsia="Calibri"/>
          <w:i/>
        </w:rPr>
      </w:pPr>
      <w:r w:rsidRPr="00F6010A">
        <w:t>110 детей посещало  ДШИ. В течение года они п</w:t>
      </w:r>
      <w:r w:rsidR="00E564CE">
        <w:t>риняли участие в 31</w:t>
      </w:r>
      <w:r w:rsidR="006E4FAA">
        <w:t xml:space="preserve"> зональных, м</w:t>
      </w:r>
      <w:r w:rsidRPr="00F6010A">
        <w:t>ежрегиональных, Республиканских, Всероссийских  ко</w:t>
      </w:r>
      <w:r w:rsidR="00E564CE">
        <w:t>нкурсах и выставках. Привезли 77 дипломов</w:t>
      </w:r>
      <w:r w:rsidRPr="00F6010A">
        <w:t xml:space="preserve">, из </w:t>
      </w:r>
      <w:r w:rsidR="00E564CE">
        <w:t>них Лауреатов и Дипломантов – 36</w:t>
      </w:r>
      <w:r w:rsidRPr="00F6010A">
        <w:t>, что свидетельствует о высоком уровне качества обучения.</w:t>
      </w:r>
      <w:r w:rsidRPr="00F6010A">
        <w:rPr>
          <w:rFonts w:eastAsia="Calibri"/>
          <w:i/>
        </w:rPr>
        <w:t xml:space="preserve"> </w:t>
      </w:r>
    </w:p>
    <w:p w:rsidR="00F6010A" w:rsidRPr="00EC704C" w:rsidRDefault="00EC704C" w:rsidP="00F6010A">
      <w:pPr>
        <w:ind w:firstLine="708"/>
        <w:jc w:val="both"/>
      </w:pPr>
      <w:r w:rsidRPr="00EC704C">
        <w:t>В МЦ «Встреча» работало 6 волонтерских отрядов и 9 клубов «Молодая семья». Также район включи</w:t>
      </w:r>
      <w:r>
        <w:t xml:space="preserve">лся в юнармейское движение </w:t>
      </w:r>
      <w:r w:rsidRPr="00EC704C">
        <w:t xml:space="preserve"> </w:t>
      </w:r>
      <w:r>
        <w:t>(</w:t>
      </w:r>
      <w:r w:rsidRPr="00EC704C">
        <w:t>один отряд).</w:t>
      </w:r>
    </w:p>
    <w:p w:rsidR="00E45D3A" w:rsidRDefault="00E45D3A" w:rsidP="00BA2C1D">
      <w:pPr>
        <w:ind w:firstLine="708"/>
        <w:jc w:val="both"/>
      </w:pPr>
      <w:r>
        <w:t>Приоритетные задачи на плановый период:</w:t>
      </w:r>
    </w:p>
    <w:p w:rsidR="00E45D3A" w:rsidRDefault="00E45D3A" w:rsidP="00BA2C1D">
      <w:pPr>
        <w:ind w:firstLine="708"/>
        <w:jc w:val="both"/>
      </w:pPr>
      <w:r>
        <w:t xml:space="preserve">Повышение квалификации работников учреждений культуры, привлечение  молодых специалистов; </w:t>
      </w:r>
    </w:p>
    <w:p w:rsidR="00E45D3A" w:rsidRDefault="00E45D3A" w:rsidP="00BA2C1D">
      <w:pPr>
        <w:ind w:firstLine="708"/>
        <w:jc w:val="both"/>
      </w:pPr>
      <w:r>
        <w:t>Развитие новых форм работы по вовлечению населения в клубные формирования;</w:t>
      </w:r>
    </w:p>
    <w:p w:rsidR="00E45D3A" w:rsidRDefault="00E45D3A" w:rsidP="00BA2C1D">
      <w:pPr>
        <w:ind w:firstLine="708"/>
        <w:jc w:val="both"/>
      </w:pPr>
      <w:r>
        <w:t>Привлечение финансовых средств из всех уровней бюджетов РФ, благотворительных фондов, спонсорских средств;</w:t>
      </w:r>
    </w:p>
    <w:p w:rsidR="00E45D3A" w:rsidRDefault="00E45D3A" w:rsidP="00BA2C1D">
      <w:pPr>
        <w:ind w:firstLine="708"/>
        <w:jc w:val="both"/>
      </w:pPr>
      <w:r>
        <w:t>Развитие материально-технической базы учреждений культуры;</w:t>
      </w:r>
    </w:p>
    <w:p w:rsidR="00E45D3A" w:rsidRDefault="00E45D3A" w:rsidP="00BA2C1D">
      <w:pPr>
        <w:ind w:firstLine="708"/>
        <w:jc w:val="both"/>
      </w:pPr>
      <w:r>
        <w:t>Пополнение библиотечных и музейных фондов.</w:t>
      </w:r>
    </w:p>
    <w:p w:rsidR="00446EE3" w:rsidRPr="00446EE3" w:rsidRDefault="00446EE3" w:rsidP="00446EE3">
      <w:pPr>
        <w:jc w:val="both"/>
      </w:pPr>
    </w:p>
    <w:p w:rsidR="00A0098D" w:rsidRDefault="0007555E" w:rsidP="008A56DE">
      <w:pPr>
        <w:jc w:val="both"/>
        <w:rPr>
          <w:b/>
        </w:rPr>
      </w:pPr>
      <w:r w:rsidRPr="0007555E">
        <w:t>Показатель № 2</w:t>
      </w:r>
      <w:r>
        <w:t>0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 учреждениями культуры от нормативной потребности:</w:t>
      </w:r>
    </w:p>
    <w:p w:rsidR="00BC0D7E" w:rsidRDefault="00BC0D7E" w:rsidP="008A56DE">
      <w:pPr>
        <w:jc w:val="both"/>
        <w:rPr>
          <w:b/>
        </w:rPr>
      </w:pPr>
    </w:p>
    <w:p w:rsidR="0007555E" w:rsidRDefault="0007555E" w:rsidP="008A56DE">
      <w:pPr>
        <w:jc w:val="both"/>
        <w:rPr>
          <w:b/>
        </w:rPr>
      </w:pPr>
      <w:r w:rsidRPr="00017AFD">
        <w:t>Показатель № 20а.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клубами и учреждениями клубного типа:</w:t>
      </w:r>
    </w:p>
    <w:p w:rsidR="006E4FAA" w:rsidRDefault="006E4FAA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102,74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98,94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100,52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90,59</w:t>
            </w:r>
          </w:p>
        </w:tc>
        <w:tc>
          <w:tcPr>
            <w:tcW w:w="1107" w:type="dxa"/>
          </w:tcPr>
          <w:p w:rsidR="00667E04" w:rsidRDefault="00310076" w:rsidP="00443D78">
            <w:pPr>
              <w:jc w:val="center"/>
            </w:pPr>
            <w:r>
              <w:t>92,29</w:t>
            </w:r>
          </w:p>
        </w:tc>
        <w:tc>
          <w:tcPr>
            <w:tcW w:w="1107" w:type="dxa"/>
          </w:tcPr>
          <w:p w:rsidR="00667E04" w:rsidRDefault="00310076" w:rsidP="00443D78">
            <w:pPr>
              <w:jc w:val="center"/>
            </w:pPr>
            <w:r>
              <w:t>93,53</w:t>
            </w:r>
          </w:p>
        </w:tc>
        <w:tc>
          <w:tcPr>
            <w:tcW w:w="1108" w:type="dxa"/>
          </w:tcPr>
          <w:p w:rsidR="00667E04" w:rsidRDefault="00310076" w:rsidP="00443D78">
            <w:pPr>
              <w:jc w:val="center"/>
            </w:pPr>
            <w:r>
              <w:t>94,61</w:t>
            </w:r>
          </w:p>
        </w:tc>
        <w:tc>
          <w:tcPr>
            <w:tcW w:w="1108" w:type="dxa"/>
          </w:tcPr>
          <w:p w:rsidR="00667E04" w:rsidRDefault="00310076" w:rsidP="00443D78">
            <w:pPr>
              <w:jc w:val="center"/>
            </w:pPr>
            <w:r>
              <w:t>95,73</w:t>
            </w:r>
          </w:p>
        </w:tc>
      </w:tr>
    </w:tbl>
    <w:p w:rsidR="005C3C82" w:rsidRDefault="005C3C82" w:rsidP="008A56DE">
      <w:pPr>
        <w:jc w:val="both"/>
        <w:rPr>
          <w:b/>
        </w:rPr>
      </w:pPr>
    </w:p>
    <w:p w:rsidR="00BC0D7E" w:rsidRPr="008A56DE" w:rsidRDefault="00094192" w:rsidP="00094192">
      <w:pPr>
        <w:ind w:firstLine="708"/>
        <w:jc w:val="both"/>
      </w:pPr>
      <w:r>
        <w:t xml:space="preserve">Обеспеченность клубами и учреждениями </w:t>
      </w:r>
      <w:r w:rsidR="00017AFD">
        <w:t>клубного типа в 2019</w:t>
      </w:r>
      <w:r w:rsidR="006E4FAA">
        <w:t xml:space="preserve"> году с</w:t>
      </w:r>
      <w:r w:rsidR="00017AFD">
        <w:t>оставила 92,29</w:t>
      </w:r>
      <w:r w:rsidR="00735609">
        <w:t xml:space="preserve"> </w:t>
      </w:r>
      <w:r w:rsidR="00257D7F">
        <w:t>% от</w:t>
      </w:r>
      <w:r w:rsidR="006E4FAA">
        <w:t xml:space="preserve"> потребности или 1171</w:t>
      </w:r>
      <w:r>
        <w:t xml:space="preserve"> посадочное место в учреждениях культурно-досугового типа.</w:t>
      </w:r>
      <w:r w:rsidR="00017AFD">
        <w:t xml:space="preserve"> </w:t>
      </w:r>
      <w:r w:rsidR="00735609">
        <w:t xml:space="preserve">В последующие годы </w:t>
      </w:r>
      <w:r w:rsidR="006E4FAA">
        <w:t xml:space="preserve">небольшой </w:t>
      </w:r>
      <w:r w:rsidR="00735609">
        <w:t xml:space="preserve">рост </w:t>
      </w:r>
      <w:r w:rsidR="006E4FAA">
        <w:t>показателя обусловлен</w:t>
      </w:r>
      <w:r w:rsidR="00735609">
        <w:t xml:space="preserve"> снижением численности населен</w:t>
      </w:r>
      <w:r w:rsidR="00017AFD">
        <w:t>ия при сохранении на уровне 2019</w:t>
      </w:r>
      <w:r w:rsidR="00735609">
        <w:t xml:space="preserve"> года числа посадочных мест в учреждениях культурно-досугового типа.</w:t>
      </w:r>
    </w:p>
    <w:p w:rsidR="008A56DE" w:rsidRDefault="008A56DE" w:rsidP="008A56DE">
      <w:pPr>
        <w:jc w:val="both"/>
        <w:rPr>
          <w:b/>
        </w:rPr>
      </w:pPr>
    </w:p>
    <w:p w:rsidR="0007555E" w:rsidRDefault="00BC0D7E" w:rsidP="008A56DE">
      <w:pPr>
        <w:jc w:val="both"/>
        <w:rPr>
          <w:b/>
        </w:rPr>
      </w:pPr>
      <w:r w:rsidRPr="0007555E">
        <w:t>Показатель № 2</w:t>
      </w:r>
      <w:r>
        <w:t>0б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библиотеками: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667E04" w:rsidTr="00BC651A">
        <w:tc>
          <w:tcPr>
            <w:tcW w:w="5535" w:type="dxa"/>
            <w:gridSpan w:val="5"/>
          </w:tcPr>
          <w:p w:rsidR="00667E04" w:rsidRDefault="00667E04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667E04" w:rsidRDefault="00667E04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2019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2021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100</w:t>
            </w:r>
          </w:p>
        </w:tc>
      </w:tr>
    </w:tbl>
    <w:p w:rsidR="005C3C82" w:rsidRDefault="005C3C82" w:rsidP="008A56DE">
      <w:pPr>
        <w:jc w:val="both"/>
        <w:rPr>
          <w:b/>
        </w:rPr>
      </w:pPr>
    </w:p>
    <w:p w:rsidR="00BC0D7E" w:rsidRPr="00BC0D7E" w:rsidRDefault="00BC0D7E" w:rsidP="008A56DE">
      <w:pPr>
        <w:jc w:val="both"/>
      </w:pPr>
      <w:r w:rsidRPr="00BC0D7E">
        <w:t>Уровень обеспеченности библиотеками</w:t>
      </w:r>
      <w:r>
        <w:t xml:space="preserve">  </w:t>
      </w:r>
      <w:r w:rsidRPr="00BC0D7E">
        <w:t xml:space="preserve"> в районе</w:t>
      </w:r>
      <w:r>
        <w:t xml:space="preserve"> (14 единиц)</w:t>
      </w:r>
      <w:r w:rsidRPr="00BC0D7E">
        <w:t xml:space="preserve"> составляет 100 процентов.</w:t>
      </w:r>
    </w:p>
    <w:p w:rsidR="00BC0D7E" w:rsidRDefault="00BC0D7E" w:rsidP="008A56DE">
      <w:pPr>
        <w:jc w:val="both"/>
        <w:rPr>
          <w:b/>
        </w:rPr>
      </w:pPr>
    </w:p>
    <w:p w:rsidR="00BC0D7E" w:rsidRDefault="00BC0D7E" w:rsidP="008A56DE">
      <w:pPr>
        <w:jc w:val="both"/>
        <w:rPr>
          <w:b/>
        </w:rPr>
      </w:pPr>
      <w:r w:rsidRPr="0007555E">
        <w:t>Показатель № 2</w:t>
      </w:r>
      <w:r>
        <w:t>0в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парками культуры и отдыха:</w:t>
      </w:r>
    </w:p>
    <w:p w:rsidR="00BC0D7E" w:rsidRPr="00BC0D7E" w:rsidRDefault="00BC0D7E" w:rsidP="008A56DE">
      <w:pPr>
        <w:jc w:val="both"/>
      </w:pPr>
      <w:r w:rsidRPr="00BC0D7E">
        <w:lastRenderedPageBreak/>
        <w:t>Показатель не рассчитывается в сельских муниципальных образованиях.</w:t>
      </w:r>
    </w:p>
    <w:p w:rsidR="00BC0D7E" w:rsidRDefault="00BC0D7E" w:rsidP="008A56DE">
      <w:pPr>
        <w:jc w:val="both"/>
        <w:rPr>
          <w:b/>
        </w:rPr>
      </w:pPr>
    </w:p>
    <w:p w:rsidR="00BC0D7E" w:rsidRDefault="00BC0D7E" w:rsidP="008A56DE">
      <w:pPr>
        <w:jc w:val="both"/>
        <w:rPr>
          <w:b/>
        </w:rPr>
      </w:pPr>
      <w:r w:rsidRPr="00017AFD">
        <w:t>Показатель № 21.</w:t>
      </w:r>
      <w:r>
        <w:t xml:space="preserve"> </w:t>
      </w:r>
      <w:r w:rsidRPr="00BC0D7E">
        <w:rPr>
          <w:b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>
        <w:rPr>
          <w:b/>
        </w:rPr>
        <w:t>:</w:t>
      </w:r>
    </w:p>
    <w:p w:rsidR="00775956" w:rsidRDefault="00775956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30,0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30,0</w:t>
            </w:r>
          </w:p>
        </w:tc>
        <w:tc>
          <w:tcPr>
            <w:tcW w:w="1107" w:type="dxa"/>
          </w:tcPr>
          <w:p w:rsidR="00667E04" w:rsidRDefault="00310076" w:rsidP="00443D78">
            <w:pPr>
              <w:jc w:val="center"/>
            </w:pPr>
            <w:r>
              <w:t>10</w:t>
            </w:r>
          </w:p>
        </w:tc>
        <w:tc>
          <w:tcPr>
            <w:tcW w:w="1107" w:type="dxa"/>
          </w:tcPr>
          <w:p w:rsidR="00667E04" w:rsidRDefault="00310076" w:rsidP="00443D78">
            <w:pPr>
              <w:jc w:val="center"/>
            </w:pPr>
            <w:r>
              <w:t>1</w:t>
            </w:r>
            <w:r w:rsidR="00667E04">
              <w:t>0,0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</w:tr>
    </w:tbl>
    <w:p w:rsidR="005C3C82" w:rsidRDefault="005C3C82" w:rsidP="008A56DE">
      <w:pPr>
        <w:jc w:val="both"/>
        <w:rPr>
          <w:b/>
        </w:rPr>
      </w:pPr>
    </w:p>
    <w:p w:rsidR="00BC0D7E" w:rsidRPr="008A56DE" w:rsidRDefault="00775956" w:rsidP="008A56DE">
      <w:pPr>
        <w:ind w:firstLine="708"/>
        <w:jc w:val="both"/>
      </w:pPr>
      <w:r>
        <w:t>Из 1</w:t>
      </w:r>
      <w:r w:rsidR="00106387">
        <w:t>0</w:t>
      </w:r>
      <w:r w:rsidR="008A56DE">
        <w:t xml:space="preserve"> зданий, в которых находятся муниципал</w:t>
      </w:r>
      <w:r w:rsidR="00017AFD">
        <w:t>ьные учреждения культуры, в 2019</w:t>
      </w:r>
      <w:r w:rsidR="008A56DE">
        <w:t xml:space="preserve"> го</w:t>
      </w:r>
      <w:r w:rsidR="00017AFD">
        <w:t xml:space="preserve">ду капитально отремонтированы </w:t>
      </w:r>
      <w:proofErr w:type="spellStart"/>
      <w:r w:rsidR="00017AFD">
        <w:t>Малягуртский</w:t>
      </w:r>
      <w:proofErr w:type="spellEnd"/>
      <w:r w:rsidR="00017AFD">
        <w:t xml:space="preserve"> СДК и</w:t>
      </w:r>
      <w:r w:rsidR="00E30AB6" w:rsidRPr="008A56DE">
        <w:t xml:space="preserve"> Красногорски</w:t>
      </w:r>
      <w:r>
        <w:t>й РДК</w:t>
      </w:r>
      <w:r w:rsidR="00017AFD">
        <w:t xml:space="preserve">. Требует капитального ремонта  здание </w:t>
      </w:r>
      <w:proofErr w:type="spellStart"/>
      <w:r w:rsidR="00017AFD">
        <w:t>Дебинского</w:t>
      </w:r>
      <w:proofErr w:type="spellEnd"/>
      <w:r w:rsidR="00017AFD">
        <w:t xml:space="preserve"> СДК</w:t>
      </w:r>
      <w:r w:rsidR="008A56DE">
        <w:t xml:space="preserve">. Доля муниципальных учреждений культуры, здания которых находятся в аварийном состоянии или </w:t>
      </w:r>
      <w:proofErr w:type="gramStart"/>
      <w:r w:rsidR="008A56DE">
        <w:t>требуют ка</w:t>
      </w:r>
      <w:r w:rsidR="00E30AB6">
        <w:t>питального рем</w:t>
      </w:r>
      <w:r w:rsidR="00017AFD">
        <w:t>онта составляет</w:t>
      </w:r>
      <w:proofErr w:type="gramEnd"/>
      <w:r w:rsidR="00017AFD">
        <w:t xml:space="preserve"> 1</w:t>
      </w:r>
      <w:r w:rsidR="00106387">
        <w:t xml:space="preserve">0 </w:t>
      </w:r>
      <w:r w:rsidR="00033164">
        <w:t xml:space="preserve">%. </w:t>
      </w:r>
      <w:r w:rsidR="00017AFD">
        <w:t>В 2021</w:t>
      </w:r>
      <w:r w:rsidR="00106387">
        <w:t xml:space="preserve"> году ожида</w:t>
      </w:r>
      <w:r>
        <w:t>ется ре</w:t>
      </w:r>
      <w:r w:rsidR="00017AFD">
        <w:t xml:space="preserve">монт </w:t>
      </w:r>
      <w:proofErr w:type="spellStart"/>
      <w:r w:rsidR="00017AFD">
        <w:t>Дебинского</w:t>
      </w:r>
      <w:proofErr w:type="spellEnd"/>
      <w:r w:rsidR="00017AFD">
        <w:t xml:space="preserve"> </w:t>
      </w:r>
      <w:r>
        <w:t>СДК</w:t>
      </w:r>
      <w:r w:rsidR="00106387">
        <w:t xml:space="preserve">. </w:t>
      </w:r>
    </w:p>
    <w:p w:rsidR="008A56DE" w:rsidRDefault="008A56DE" w:rsidP="008A56DE">
      <w:pPr>
        <w:jc w:val="both"/>
        <w:rPr>
          <w:b/>
        </w:rPr>
      </w:pPr>
    </w:p>
    <w:p w:rsidR="00BC0D7E" w:rsidRDefault="00BC0D7E" w:rsidP="008A56DE">
      <w:pPr>
        <w:jc w:val="both"/>
        <w:rPr>
          <w:b/>
        </w:rPr>
      </w:pPr>
      <w:r w:rsidRPr="00017AFD">
        <w:t>Показатель № 22</w:t>
      </w:r>
      <w:r>
        <w:t xml:space="preserve"> </w:t>
      </w:r>
      <w:r w:rsidRPr="00BC0D7E">
        <w:rPr>
          <w:b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собственности:</w:t>
      </w:r>
    </w:p>
    <w:p w:rsidR="00775956" w:rsidRDefault="00775956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:rsidR="00667E04" w:rsidRDefault="00310076" w:rsidP="00443D78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33,33</w:t>
            </w:r>
          </w:p>
        </w:tc>
        <w:tc>
          <w:tcPr>
            <w:tcW w:w="1108" w:type="dxa"/>
          </w:tcPr>
          <w:p w:rsidR="00667E04" w:rsidRDefault="00310076" w:rsidP="00443D78">
            <w:pPr>
              <w:jc w:val="center"/>
            </w:pPr>
            <w:r>
              <w:t>33,33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</w:t>
            </w:r>
          </w:p>
        </w:tc>
      </w:tr>
    </w:tbl>
    <w:p w:rsidR="005C3C82" w:rsidRDefault="005C3C82" w:rsidP="008A56DE">
      <w:pPr>
        <w:jc w:val="both"/>
        <w:rPr>
          <w:b/>
        </w:rPr>
      </w:pPr>
    </w:p>
    <w:p w:rsidR="008A56DE" w:rsidRPr="008A56DE" w:rsidRDefault="00775956" w:rsidP="008A56DE">
      <w:pPr>
        <w:ind w:firstLine="708"/>
        <w:jc w:val="both"/>
      </w:pPr>
      <w:r>
        <w:t>Один объект</w:t>
      </w:r>
      <w:r w:rsidR="008A56DE" w:rsidRPr="008A56DE">
        <w:t xml:space="preserve"> культурного насл</w:t>
      </w:r>
      <w:r w:rsidR="00106387">
        <w:t>едия</w:t>
      </w:r>
      <w:r w:rsidR="00C55587">
        <w:t xml:space="preserve"> (бюст</w:t>
      </w:r>
      <w:r w:rsidR="00106387">
        <w:t xml:space="preserve"> в с. Архангельское</w:t>
      </w:r>
      <w:r w:rsidR="00C55587">
        <w:t xml:space="preserve"> учительницы Устиньи </w:t>
      </w:r>
      <w:proofErr w:type="spellStart"/>
      <w:r w:rsidR="00C55587">
        <w:t>Парфеновны</w:t>
      </w:r>
      <w:proofErr w:type="spellEnd"/>
      <w:r w:rsidR="00C55587">
        <w:t xml:space="preserve"> </w:t>
      </w:r>
      <w:proofErr w:type="spellStart"/>
      <w:r w:rsidR="00C55587">
        <w:t>Вершининой</w:t>
      </w:r>
      <w:proofErr w:type="spellEnd"/>
      <w:r w:rsidR="00C55587">
        <w:t>, зверски убитой кулаками во вр</w:t>
      </w:r>
      <w:r w:rsidR="00175544">
        <w:t xml:space="preserve">емя </w:t>
      </w:r>
      <w:proofErr w:type="spellStart"/>
      <w:r w:rsidR="00175544">
        <w:t>святогорского</w:t>
      </w:r>
      <w:proofErr w:type="spellEnd"/>
      <w:r w:rsidR="00175544">
        <w:t xml:space="preserve"> восстания в 19</w:t>
      </w:r>
      <w:r w:rsidR="00C55587">
        <w:t>18</w:t>
      </w:r>
      <w:r w:rsidR="00106387">
        <w:t xml:space="preserve"> году</w:t>
      </w:r>
      <w:r>
        <w:t>) требует работ по сохранению. Два других объекта культурного наследия (</w:t>
      </w:r>
      <w:r w:rsidR="00106387">
        <w:t>памятник неизвестному красноа</w:t>
      </w:r>
      <w:r w:rsidR="00065B0A">
        <w:t xml:space="preserve">рмейцу в с. Б. </w:t>
      </w:r>
      <w:proofErr w:type="spellStart"/>
      <w:r w:rsidR="00065B0A">
        <w:t>Селег</w:t>
      </w:r>
      <w:proofErr w:type="spellEnd"/>
      <w:r w:rsidR="00065B0A">
        <w:t>, памятник Г</w:t>
      </w:r>
      <w:r w:rsidR="00106387">
        <w:t xml:space="preserve">ерою Советского Союза Черезову </w:t>
      </w:r>
      <w:r w:rsidR="00065B0A">
        <w:t>Аркадию Степановичу в с. Валамаз</w:t>
      </w:r>
      <w:r w:rsidR="00C55587">
        <w:t>)</w:t>
      </w:r>
      <w:r w:rsidR="00065B0A">
        <w:t xml:space="preserve"> находятся в удовлетворительном состоянии</w:t>
      </w:r>
      <w:r w:rsidR="008A56DE" w:rsidRPr="008A56DE">
        <w:t>. Доля объектов культурного наследия, требующих консерваци</w:t>
      </w:r>
      <w:r>
        <w:t>и или реставрации составляет 33,33</w:t>
      </w:r>
      <w:r w:rsidR="00C55587">
        <w:t xml:space="preserve"> %. </w:t>
      </w:r>
    </w:p>
    <w:p w:rsidR="00896846" w:rsidRDefault="00896846" w:rsidP="00896846"/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ФИЗИЧЕСКАЯ КУЛЬТУРА И СПОРТ</w:t>
      </w:r>
    </w:p>
    <w:p w:rsidR="00896846" w:rsidRDefault="00896846" w:rsidP="00896846">
      <w:pPr>
        <w:jc w:val="center"/>
        <w:rPr>
          <w:b/>
        </w:rPr>
      </w:pPr>
    </w:p>
    <w:p w:rsidR="00364DD5" w:rsidRPr="009C345A" w:rsidRDefault="00896846" w:rsidP="00896846">
      <w:pPr>
        <w:pStyle w:val="a4"/>
        <w:ind w:firstLine="708"/>
        <w:jc w:val="both"/>
        <w:rPr>
          <w:sz w:val="24"/>
        </w:rPr>
      </w:pPr>
      <w:r w:rsidRPr="009C345A">
        <w:rPr>
          <w:sz w:val="24"/>
        </w:rPr>
        <w:t>Основными целями политики в об</w:t>
      </w:r>
      <w:r w:rsidR="0007555E" w:rsidRPr="009C345A">
        <w:rPr>
          <w:sz w:val="24"/>
        </w:rPr>
        <w:t xml:space="preserve">ласти физической культуры и спорта является </w:t>
      </w:r>
      <w:r w:rsidRPr="009C345A">
        <w:rPr>
          <w:sz w:val="24"/>
        </w:rPr>
        <w:t xml:space="preserve"> создание условий для формирования у населения потребности в здоровом образе жизни, обеспечение успешного выступления спортсменов на районных, зональных и р</w:t>
      </w:r>
      <w:r w:rsidR="0007555E" w:rsidRPr="009C345A">
        <w:rPr>
          <w:sz w:val="24"/>
        </w:rPr>
        <w:t>еспубликанских соревнованиях</w:t>
      </w:r>
      <w:r w:rsidRPr="009C345A">
        <w:rPr>
          <w:sz w:val="24"/>
        </w:rPr>
        <w:t xml:space="preserve">. Во всех муниципальных образованиях района назначены ответственные лица за организацию и проведение спортивных мероприятий. </w:t>
      </w:r>
      <w:r w:rsidR="00364DD5" w:rsidRPr="009C345A">
        <w:rPr>
          <w:sz w:val="24"/>
        </w:rPr>
        <w:t xml:space="preserve"> Всего в </w:t>
      </w:r>
      <w:r w:rsidR="009C345A" w:rsidRPr="009C345A">
        <w:rPr>
          <w:sz w:val="24"/>
        </w:rPr>
        <w:t>районе имеется 29 спортивных</w:t>
      </w:r>
      <w:r w:rsidR="00667E04" w:rsidRPr="009C345A">
        <w:rPr>
          <w:sz w:val="24"/>
        </w:rPr>
        <w:t xml:space="preserve"> со</w:t>
      </w:r>
      <w:r w:rsidR="009C345A" w:rsidRPr="009C345A">
        <w:rPr>
          <w:sz w:val="24"/>
        </w:rPr>
        <w:t>оружений</w:t>
      </w:r>
      <w:r w:rsidR="00667E04" w:rsidRPr="009C345A">
        <w:rPr>
          <w:sz w:val="24"/>
        </w:rPr>
        <w:t>, в том числе 1 стадион, 12</w:t>
      </w:r>
      <w:r w:rsidR="009C345A" w:rsidRPr="009C345A">
        <w:rPr>
          <w:sz w:val="24"/>
        </w:rPr>
        <w:t xml:space="preserve"> спортзалов и 16</w:t>
      </w:r>
      <w:r w:rsidR="00364DD5" w:rsidRPr="009C345A">
        <w:rPr>
          <w:sz w:val="24"/>
        </w:rPr>
        <w:t xml:space="preserve"> плоскостных сооружений.</w:t>
      </w:r>
      <w:r w:rsidR="008B2442" w:rsidRPr="009C345A">
        <w:rPr>
          <w:sz w:val="24"/>
        </w:rPr>
        <w:t xml:space="preserve"> </w:t>
      </w:r>
      <w:r w:rsidR="008B2442" w:rsidRPr="009C345A">
        <w:rPr>
          <w:color w:val="000000"/>
          <w:spacing w:val="-1"/>
          <w:sz w:val="24"/>
        </w:rPr>
        <w:t>В течение  года проведено 39 районных спортивных мероприятий, в</w:t>
      </w:r>
      <w:r w:rsidR="008B2442">
        <w:rPr>
          <w:color w:val="000000"/>
          <w:spacing w:val="-1"/>
          <w:szCs w:val="28"/>
        </w:rPr>
        <w:t xml:space="preserve"> </w:t>
      </w:r>
      <w:r w:rsidR="008B2442" w:rsidRPr="009C345A">
        <w:rPr>
          <w:color w:val="000000"/>
          <w:spacing w:val="-1"/>
          <w:sz w:val="24"/>
        </w:rPr>
        <w:t>которых приняло участие 523 человека, 348 спортсменов приняли участие в 23 мероприятиях республиканского уровня. Активно пропагандируется новое направление - скандинавская ходьба, которой регулярно в нашем районе занимаются 230 чел. 165 жителей выполнили нормативы ГТО на золотой знак.</w:t>
      </w:r>
    </w:p>
    <w:p w:rsidR="00896846" w:rsidRPr="009C345A" w:rsidRDefault="00896846" w:rsidP="00896846">
      <w:pPr>
        <w:pStyle w:val="a4"/>
        <w:ind w:firstLine="708"/>
        <w:jc w:val="both"/>
        <w:rPr>
          <w:sz w:val="24"/>
        </w:rPr>
      </w:pPr>
      <w:r w:rsidRPr="009C345A">
        <w:rPr>
          <w:sz w:val="24"/>
        </w:rPr>
        <w:t>Спортивные залы регулярно используются для проведения занятий в спортивных секциях для детей и взрослых. Для подготовки спортсменов, сборных команд района проводятся отборочные районные соревнования, уч</w:t>
      </w:r>
      <w:r w:rsidR="00BD576F" w:rsidRPr="009C345A">
        <w:rPr>
          <w:sz w:val="24"/>
        </w:rPr>
        <w:t>ебно-тренировочные сборы, выезды</w:t>
      </w:r>
      <w:r w:rsidRPr="009C345A">
        <w:rPr>
          <w:sz w:val="24"/>
        </w:rPr>
        <w:t xml:space="preserve"> на товарищеские встречи в соседние районы. </w:t>
      </w:r>
    </w:p>
    <w:p w:rsidR="0007555E" w:rsidRDefault="00896846" w:rsidP="0007555E">
      <w:pPr>
        <w:pStyle w:val="a4"/>
        <w:ind w:firstLine="708"/>
        <w:jc w:val="both"/>
        <w:rPr>
          <w:sz w:val="24"/>
        </w:rPr>
      </w:pPr>
      <w:proofErr w:type="gramStart"/>
      <w:r w:rsidRPr="009C345A">
        <w:rPr>
          <w:sz w:val="24"/>
        </w:rPr>
        <w:t>Для вовлечения населения к занятиям физической культурой и спортом организованы спартакиады среди дошкольных учреждений, школ, проводятся районные летние</w:t>
      </w:r>
      <w:r>
        <w:rPr>
          <w:sz w:val="24"/>
        </w:rPr>
        <w:t xml:space="preserve"> и зимние спортивные игры, ведется секционная</w:t>
      </w:r>
      <w:r w:rsidR="00BD576F">
        <w:rPr>
          <w:sz w:val="24"/>
        </w:rPr>
        <w:t xml:space="preserve"> и кружковая</w:t>
      </w:r>
      <w:r>
        <w:rPr>
          <w:sz w:val="24"/>
        </w:rPr>
        <w:t xml:space="preserve"> работа,  к проведению соревнований по различным видам спорта в качестве организаторов и для благотворительной помощи привлекаются органи</w:t>
      </w:r>
      <w:r w:rsidR="0007555E">
        <w:rPr>
          <w:sz w:val="24"/>
        </w:rPr>
        <w:t>зации и предприниматели района</w:t>
      </w:r>
      <w:r w:rsidR="00FA5E55">
        <w:rPr>
          <w:sz w:val="24"/>
        </w:rPr>
        <w:t>, спортсмены участвуют в общероссийских массовых мероприятиях «Лыжня России», «Кросс нации», «Кожаный мяч»</w:t>
      </w:r>
      <w:r w:rsidR="0007555E">
        <w:rPr>
          <w:sz w:val="24"/>
        </w:rPr>
        <w:t>.</w:t>
      </w:r>
      <w:proofErr w:type="gramEnd"/>
      <w:r w:rsidR="00FA5E55">
        <w:rPr>
          <w:sz w:val="24"/>
        </w:rPr>
        <w:t xml:space="preserve"> Население вовлекается в сдачу нормативов комплекса ГТО.</w:t>
      </w:r>
      <w:r w:rsidR="000410CE">
        <w:rPr>
          <w:sz w:val="24"/>
        </w:rPr>
        <w:t xml:space="preserve"> Требуется постоянная </w:t>
      </w:r>
      <w:r w:rsidR="000410CE">
        <w:rPr>
          <w:sz w:val="24"/>
        </w:rPr>
        <w:lastRenderedPageBreak/>
        <w:t>информационно-разъяснительная работа среди населения по здоровому образу жизни, необходимости заниматься физической культурой и спортом.</w:t>
      </w:r>
    </w:p>
    <w:p w:rsidR="0007555E" w:rsidRDefault="0007555E" w:rsidP="0007555E">
      <w:pPr>
        <w:pStyle w:val="a4"/>
        <w:ind w:firstLine="708"/>
        <w:jc w:val="both"/>
        <w:rPr>
          <w:sz w:val="24"/>
        </w:rPr>
      </w:pPr>
    </w:p>
    <w:p w:rsidR="00896846" w:rsidRDefault="00A0098D" w:rsidP="0007555E">
      <w:pPr>
        <w:pStyle w:val="a4"/>
        <w:ind w:firstLine="708"/>
        <w:jc w:val="both"/>
        <w:rPr>
          <w:b/>
          <w:sz w:val="24"/>
        </w:rPr>
      </w:pPr>
      <w:r w:rsidRPr="009C345A">
        <w:rPr>
          <w:sz w:val="24"/>
        </w:rPr>
        <w:t>Показатель № 2</w:t>
      </w:r>
      <w:r w:rsidR="00896846" w:rsidRPr="009C345A">
        <w:rPr>
          <w:sz w:val="24"/>
        </w:rPr>
        <w:t>3.</w:t>
      </w:r>
      <w:r w:rsidRPr="0007555E">
        <w:rPr>
          <w:b/>
          <w:sz w:val="24"/>
        </w:rPr>
        <w:t xml:space="preserve"> Доля населения</w:t>
      </w:r>
      <w:r w:rsidR="00896846" w:rsidRPr="0007555E">
        <w:rPr>
          <w:b/>
          <w:sz w:val="24"/>
        </w:rPr>
        <w:t>, систематически занимающегося физической культурой и спортом: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31,20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32,88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36,25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33,57</w:t>
            </w:r>
          </w:p>
        </w:tc>
        <w:tc>
          <w:tcPr>
            <w:tcW w:w="1107" w:type="dxa"/>
          </w:tcPr>
          <w:p w:rsidR="00667E04" w:rsidRDefault="000439F4" w:rsidP="00443D78">
            <w:pPr>
              <w:jc w:val="center"/>
            </w:pPr>
            <w:r>
              <w:t>31,71</w:t>
            </w:r>
          </w:p>
        </w:tc>
        <w:tc>
          <w:tcPr>
            <w:tcW w:w="1107" w:type="dxa"/>
          </w:tcPr>
          <w:p w:rsidR="00667E04" w:rsidRDefault="000439F4" w:rsidP="00443D78">
            <w:pPr>
              <w:jc w:val="center"/>
            </w:pPr>
            <w:r>
              <w:t>40,12</w:t>
            </w:r>
          </w:p>
        </w:tc>
        <w:tc>
          <w:tcPr>
            <w:tcW w:w="1108" w:type="dxa"/>
          </w:tcPr>
          <w:p w:rsidR="00667E04" w:rsidRDefault="000439F4" w:rsidP="00443D78">
            <w:pPr>
              <w:jc w:val="center"/>
            </w:pPr>
            <w:r>
              <w:t>43,74</w:t>
            </w:r>
          </w:p>
        </w:tc>
        <w:tc>
          <w:tcPr>
            <w:tcW w:w="1108" w:type="dxa"/>
          </w:tcPr>
          <w:p w:rsidR="00667E04" w:rsidRDefault="000439F4" w:rsidP="00443D78">
            <w:pPr>
              <w:jc w:val="center"/>
            </w:pPr>
            <w:r>
              <w:t>45,60</w:t>
            </w:r>
          </w:p>
        </w:tc>
      </w:tr>
    </w:tbl>
    <w:p w:rsidR="005C3C82" w:rsidRPr="0007555E" w:rsidRDefault="005C3C82" w:rsidP="0007555E">
      <w:pPr>
        <w:pStyle w:val="a4"/>
        <w:ind w:firstLine="708"/>
        <w:jc w:val="both"/>
        <w:rPr>
          <w:sz w:val="24"/>
        </w:rPr>
      </w:pPr>
    </w:p>
    <w:p w:rsidR="00BD576F" w:rsidRDefault="00364DD5" w:rsidP="00896846">
      <w:pPr>
        <w:jc w:val="both"/>
      </w:pPr>
      <w:r>
        <w:tab/>
        <w:t xml:space="preserve">В </w:t>
      </w:r>
      <w:r w:rsidR="009C345A">
        <w:t>2019</w:t>
      </w:r>
      <w:r w:rsidR="00896846">
        <w:t xml:space="preserve"> году систематически занимались физической культурой и спортом </w:t>
      </w:r>
      <w:r w:rsidR="000439F4">
        <w:t>2507 человек или 31,71</w:t>
      </w:r>
      <w:r w:rsidR="00896846">
        <w:t xml:space="preserve"> процент</w:t>
      </w:r>
      <w:r w:rsidR="000439F4">
        <w:t>а</w:t>
      </w:r>
      <w:r w:rsidR="00A0098D">
        <w:t xml:space="preserve"> населения</w:t>
      </w:r>
      <w:r>
        <w:t xml:space="preserve"> района</w:t>
      </w:r>
      <w:r w:rsidR="00065B0A">
        <w:t xml:space="preserve"> от</w:t>
      </w:r>
      <w:r w:rsidR="000439F4">
        <w:t xml:space="preserve"> 3 до 79 лет. В сравнении с 2018</w:t>
      </w:r>
      <w:r w:rsidR="00896846">
        <w:t xml:space="preserve"> годом численность систематически </w:t>
      </w:r>
      <w:proofErr w:type="gramStart"/>
      <w:r w:rsidR="00896846">
        <w:t>занимающихся</w:t>
      </w:r>
      <w:proofErr w:type="gramEnd"/>
      <w:r w:rsidR="00896846">
        <w:t xml:space="preserve"> физической кул</w:t>
      </w:r>
      <w:r w:rsidR="00065B0A">
        <w:t>ьтурой и спортом снизилась</w:t>
      </w:r>
      <w:r w:rsidR="000439F4">
        <w:t xml:space="preserve"> на 203</w:t>
      </w:r>
      <w:r w:rsidR="00775956">
        <w:t xml:space="preserve"> человек</w:t>
      </w:r>
      <w:r w:rsidR="000439F4">
        <w:t>а</w:t>
      </w:r>
      <w:r w:rsidR="0007555E">
        <w:t xml:space="preserve">. </w:t>
      </w:r>
      <w:r w:rsidR="000439F4">
        <w:t>На снижении показателя отразилось сокращение количества плоскостных сооружений в двух поселениях и отсутствие ставки учителя физической культур</w:t>
      </w:r>
      <w:r w:rsidR="004F1CE8">
        <w:t>ы в В</w:t>
      </w:r>
      <w:r w:rsidR="000439F4">
        <w:t xml:space="preserve">асильевском поселении. </w:t>
      </w:r>
      <w:r w:rsidR="0007555E">
        <w:t>В прогнозируемом периоде численность населения, систематически занимающихся физической культ</w:t>
      </w:r>
      <w:r w:rsidR="008969B8">
        <w:t>урой и спортом возрасте</w:t>
      </w:r>
      <w:r w:rsidR="00775956">
        <w:t>т</w:t>
      </w:r>
      <w:r w:rsidR="00896846">
        <w:t xml:space="preserve"> за счет привлечения детей, подростков, взрослого населения к физкультурно-оздоровительным и спортивно-массовым мероприятиям, использования имеющейся материально-технической базы спортив</w:t>
      </w:r>
      <w:r w:rsidR="00065B0A">
        <w:t xml:space="preserve">ных сооружений.  </w:t>
      </w:r>
    </w:p>
    <w:p w:rsidR="00775956" w:rsidRDefault="00775956" w:rsidP="00896846">
      <w:pPr>
        <w:jc w:val="both"/>
      </w:pPr>
    </w:p>
    <w:p w:rsidR="00896846" w:rsidRDefault="00172165" w:rsidP="00896846">
      <w:pPr>
        <w:jc w:val="both"/>
        <w:rPr>
          <w:b/>
        </w:rPr>
      </w:pPr>
      <w:r w:rsidRPr="000439F4">
        <w:t>Показатель № 23.1</w:t>
      </w:r>
      <w:r>
        <w:t xml:space="preserve"> </w:t>
      </w:r>
      <w:r w:rsidRPr="00172165">
        <w:rPr>
          <w:b/>
        </w:rPr>
        <w:t>Доля обучающихся, систематически занимающихся физической культурой и спортом, в общей численности обучающихся:</w:t>
      </w:r>
    </w:p>
    <w:p w:rsidR="00210368" w:rsidRDefault="00210368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C651A" w:rsidTr="00BC651A">
        <w:tc>
          <w:tcPr>
            <w:tcW w:w="5535" w:type="dxa"/>
            <w:gridSpan w:val="5"/>
          </w:tcPr>
          <w:p w:rsidR="00BC651A" w:rsidRDefault="00BC651A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C651A" w:rsidRDefault="00BC651A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BC651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BC651A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71,91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72,98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96,48</w:t>
            </w:r>
          </w:p>
        </w:tc>
        <w:tc>
          <w:tcPr>
            <w:tcW w:w="1107" w:type="dxa"/>
          </w:tcPr>
          <w:p w:rsidR="00667E04" w:rsidRDefault="000439F4" w:rsidP="00443D78">
            <w:pPr>
              <w:jc w:val="center"/>
            </w:pPr>
            <w:r>
              <w:t>91,69</w:t>
            </w:r>
          </w:p>
        </w:tc>
        <w:tc>
          <w:tcPr>
            <w:tcW w:w="1107" w:type="dxa"/>
          </w:tcPr>
          <w:p w:rsidR="00667E04" w:rsidRDefault="000439F4" w:rsidP="00443D78">
            <w:pPr>
              <w:jc w:val="center"/>
            </w:pPr>
            <w:r>
              <w:t>81,67</w:t>
            </w:r>
          </w:p>
        </w:tc>
        <w:tc>
          <w:tcPr>
            <w:tcW w:w="1107" w:type="dxa"/>
          </w:tcPr>
          <w:p w:rsidR="00667E04" w:rsidRDefault="000439F4" w:rsidP="00443D78">
            <w:pPr>
              <w:jc w:val="center"/>
            </w:pPr>
            <w:r>
              <w:t>82,02</w:t>
            </w:r>
          </w:p>
        </w:tc>
        <w:tc>
          <w:tcPr>
            <w:tcW w:w="1108" w:type="dxa"/>
          </w:tcPr>
          <w:p w:rsidR="00667E04" w:rsidRDefault="000439F4" w:rsidP="00443D78">
            <w:pPr>
              <w:jc w:val="center"/>
            </w:pPr>
            <w:r>
              <w:t>83,33</w:t>
            </w:r>
          </w:p>
        </w:tc>
        <w:tc>
          <w:tcPr>
            <w:tcW w:w="1108" w:type="dxa"/>
          </w:tcPr>
          <w:p w:rsidR="00667E04" w:rsidRDefault="000439F4" w:rsidP="00443D78">
            <w:pPr>
              <w:jc w:val="center"/>
            </w:pPr>
            <w:r>
              <w:t>84,41</w:t>
            </w:r>
          </w:p>
        </w:tc>
      </w:tr>
    </w:tbl>
    <w:p w:rsidR="005C3C82" w:rsidRDefault="005C3C82" w:rsidP="00896846">
      <w:pPr>
        <w:jc w:val="both"/>
      </w:pPr>
    </w:p>
    <w:p w:rsidR="009661ED" w:rsidRDefault="000439F4" w:rsidP="00BA2C1D">
      <w:pPr>
        <w:ind w:firstLine="708"/>
        <w:jc w:val="both"/>
      </w:pPr>
      <w:r>
        <w:t>В 2019</w:t>
      </w:r>
      <w:r w:rsidR="009661ED">
        <w:t xml:space="preserve"> году систематически занимались физ</w:t>
      </w:r>
      <w:r w:rsidR="004F1CE8">
        <w:t xml:space="preserve">ической культурой и спортом 1395 </w:t>
      </w:r>
      <w:r w:rsidR="00364DD5">
        <w:t>обучающихся</w:t>
      </w:r>
      <w:r w:rsidR="00210368">
        <w:t xml:space="preserve"> от 3 до 17 лет </w:t>
      </w:r>
      <w:r w:rsidR="004F1CE8">
        <w:t>или 81,67</w:t>
      </w:r>
      <w:r w:rsidR="009661ED">
        <w:t xml:space="preserve"> процент</w:t>
      </w:r>
      <w:r w:rsidR="00210368">
        <w:t>а</w:t>
      </w:r>
      <w:r w:rsidR="009661ED">
        <w:t xml:space="preserve"> от общей численности обучающихся</w:t>
      </w:r>
      <w:r w:rsidR="00B42364">
        <w:t xml:space="preserve"> 3-17 лет. </w:t>
      </w:r>
      <w:r w:rsidR="009661ED">
        <w:t>В прогнозируемом периоде численность обучающихся, систематически занимающихся физической культ</w:t>
      </w:r>
      <w:r w:rsidR="00B42364">
        <w:t xml:space="preserve">урой и спортом </w:t>
      </w:r>
      <w:r w:rsidR="004F1CE8">
        <w:t>возрастет до 1500 человек к 2022</w:t>
      </w:r>
      <w:r w:rsidR="009661ED">
        <w:t xml:space="preserve"> году за счет привлечения детей и подростков к систематическим занятиям физической культурой и спортом</w:t>
      </w:r>
      <w:r w:rsidR="008F7CF2">
        <w:t>, полного</w:t>
      </w:r>
      <w:r w:rsidR="009661ED">
        <w:t xml:space="preserve"> использования имеющейся материально-технической баз</w:t>
      </w:r>
      <w:r w:rsidR="00B42364">
        <w:t xml:space="preserve">ы спортивных сооружений.  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ЖИЛИЩНОЕ СТРОИТЕЛЬСТВО И ОБЕСПЕЧЕНИЕ ГРАЖДАН ЖИЛЬЕМ</w:t>
      </w:r>
    </w:p>
    <w:p w:rsidR="00896846" w:rsidRDefault="00896846" w:rsidP="00896846">
      <w:pPr>
        <w:rPr>
          <w:b/>
        </w:rPr>
      </w:pPr>
    </w:p>
    <w:p w:rsidR="00896846" w:rsidRPr="00A80417" w:rsidRDefault="00896846" w:rsidP="00636099">
      <w:pPr>
        <w:ind w:firstLine="708"/>
        <w:jc w:val="both"/>
      </w:pPr>
      <w:r>
        <w:t>Общая площадь жило</w:t>
      </w:r>
      <w:r w:rsidR="008F7CF2">
        <w:t>г</w:t>
      </w:r>
      <w:r w:rsidR="00636099">
        <w:t xml:space="preserve">о фонда по району </w:t>
      </w:r>
      <w:proofErr w:type="gramStart"/>
      <w:r w:rsidR="00636099">
        <w:t>на конец</w:t>
      </w:r>
      <w:proofErr w:type="gramEnd"/>
      <w:r w:rsidR="00667E04">
        <w:t xml:space="preserve"> 2019</w:t>
      </w:r>
      <w:r w:rsidR="00AE7C2F">
        <w:t xml:space="preserve"> года составляла </w:t>
      </w:r>
      <w:r w:rsidR="00A80417" w:rsidRPr="00A80417">
        <w:t>212</w:t>
      </w:r>
      <w:r w:rsidR="00AE7C2F" w:rsidRPr="00A80417">
        <w:t>,4</w:t>
      </w:r>
      <w:r w:rsidRPr="00A80417">
        <w:t xml:space="preserve"> тыс. кв.</w:t>
      </w:r>
      <w:r w:rsidR="00EF72F5" w:rsidRPr="00A80417">
        <w:t xml:space="preserve"> </w:t>
      </w:r>
      <w:r w:rsidRPr="00A80417">
        <w:t xml:space="preserve">м. </w:t>
      </w:r>
      <w:r w:rsidR="00667E04" w:rsidRPr="00A80417">
        <w:t>За 2019</w:t>
      </w:r>
      <w:r w:rsidRPr="00A80417">
        <w:t xml:space="preserve"> год введено в эксплу</w:t>
      </w:r>
      <w:r w:rsidR="00A80417" w:rsidRPr="00A80417">
        <w:t>атацию 1297</w:t>
      </w:r>
      <w:r w:rsidRPr="00A80417">
        <w:t xml:space="preserve"> </w:t>
      </w:r>
      <w:r w:rsidR="00CE72D4" w:rsidRPr="00A80417">
        <w:t>кв.</w:t>
      </w:r>
      <w:r w:rsidR="00AE7C2F" w:rsidRPr="00A80417">
        <w:t xml:space="preserve"> м.</w:t>
      </w:r>
      <w:r w:rsidR="00636099" w:rsidRPr="00A80417">
        <w:t xml:space="preserve"> </w:t>
      </w:r>
      <w:r w:rsidR="00AE7C2F" w:rsidRPr="00A80417">
        <w:t>инди</w:t>
      </w:r>
      <w:r w:rsidR="00667E04" w:rsidRPr="00A80417">
        <w:t>видуального жилья.  В 2018</w:t>
      </w:r>
      <w:r w:rsidRPr="00A80417">
        <w:t xml:space="preserve"> году ввод в эксплуат</w:t>
      </w:r>
      <w:r w:rsidR="00667E04" w:rsidRPr="00A80417">
        <w:t>ацию жилого фонда составлял 1215</w:t>
      </w:r>
      <w:r w:rsidRPr="00A80417">
        <w:t xml:space="preserve"> кв.</w:t>
      </w:r>
      <w:r w:rsidR="00EF72F5" w:rsidRPr="00A80417">
        <w:t xml:space="preserve"> </w:t>
      </w:r>
      <w:r w:rsidRPr="00A80417">
        <w:t>м.</w:t>
      </w:r>
      <w:r w:rsidR="00EF72F5" w:rsidRPr="00A80417">
        <w:t xml:space="preserve"> </w:t>
      </w:r>
      <w:r w:rsidR="00AE7C2F" w:rsidRPr="00A80417">
        <w:t xml:space="preserve"> Выбытие жилого фонда составило </w:t>
      </w:r>
      <w:r w:rsidR="00A80417" w:rsidRPr="00A80417">
        <w:t>0,3</w:t>
      </w:r>
      <w:r w:rsidR="00AE7C2F" w:rsidRPr="00A80417">
        <w:t xml:space="preserve"> тыс. кв.</w:t>
      </w:r>
      <w:r w:rsidR="00A578E2" w:rsidRPr="00A80417">
        <w:t xml:space="preserve"> </w:t>
      </w:r>
      <w:r w:rsidR="00AE7C2F" w:rsidRPr="00A80417">
        <w:t>м.</w:t>
      </w:r>
      <w:r w:rsidR="00A578E2" w:rsidRPr="00A80417">
        <w:t xml:space="preserve"> Муниципальный жилищный фонд составляет 33,4 тыс. кв.</w:t>
      </w:r>
      <w:r w:rsidR="00106EEF">
        <w:t xml:space="preserve"> </w:t>
      </w:r>
      <w:r w:rsidR="00A578E2" w:rsidRPr="00A80417">
        <w:t>м.</w:t>
      </w:r>
    </w:p>
    <w:p w:rsidR="00896846" w:rsidRPr="000410CE" w:rsidRDefault="00896846" w:rsidP="000410CE">
      <w:pPr>
        <w:jc w:val="both"/>
      </w:pPr>
      <w:r w:rsidRPr="00A80417">
        <w:tab/>
      </w:r>
      <w:proofErr w:type="gramStart"/>
      <w:r w:rsidR="00A868DC" w:rsidRPr="00A80417">
        <w:t>На конец</w:t>
      </w:r>
      <w:proofErr w:type="gramEnd"/>
      <w:r w:rsidR="00667E04" w:rsidRPr="00A80417">
        <w:t xml:space="preserve"> 2019</w:t>
      </w:r>
      <w:r w:rsidR="00E24983" w:rsidRPr="00A80417">
        <w:t xml:space="preserve"> года </w:t>
      </w:r>
      <w:r w:rsidR="00A80417" w:rsidRPr="00A80417">
        <w:t>130</w:t>
      </w:r>
      <w:r w:rsidR="00A578E2" w:rsidRPr="00A80417">
        <w:t xml:space="preserve"> семей</w:t>
      </w:r>
      <w:r w:rsidR="00636099" w:rsidRPr="00A80417">
        <w:t xml:space="preserve"> признаны</w:t>
      </w:r>
      <w:r w:rsidRPr="00A80417">
        <w:t xml:space="preserve"> нуждающимися в улучшении жилищных услов</w:t>
      </w:r>
      <w:r w:rsidR="00884FCE" w:rsidRPr="00A80417">
        <w:t>ий</w:t>
      </w:r>
      <w:r w:rsidR="00A868DC" w:rsidRPr="00A80417">
        <w:t xml:space="preserve">, в том числе </w:t>
      </w:r>
      <w:r w:rsidR="00A578E2" w:rsidRPr="00A80417">
        <w:t>36 молодых семей</w:t>
      </w:r>
      <w:r w:rsidRPr="00A80417">
        <w:t xml:space="preserve">. </w:t>
      </w:r>
      <w:r w:rsidR="009C345A">
        <w:t>12 молодых семей и 10</w:t>
      </w:r>
      <w:r w:rsidR="00667E04" w:rsidRPr="00A80417">
        <w:t xml:space="preserve"> семей</w:t>
      </w:r>
      <w:r w:rsidRPr="00A80417">
        <w:t xml:space="preserve"> граждан </w:t>
      </w:r>
      <w:r w:rsidR="00667E04" w:rsidRPr="00A80417">
        <w:t>в 2019</w:t>
      </w:r>
      <w:r w:rsidR="008969B8" w:rsidRPr="00A80417">
        <w:t xml:space="preserve"> году</w:t>
      </w:r>
      <w:r w:rsidR="008969B8" w:rsidRPr="000410CE">
        <w:t xml:space="preserve"> </w:t>
      </w:r>
      <w:r w:rsidRPr="000410CE">
        <w:t>получили субсидии на достройку домов в обще</w:t>
      </w:r>
      <w:r w:rsidR="00EE643C" w:rsidRPr="000410CE">
        <w:t xml:space="preserve">й сумме </w:t>
      </w:r>
      <w:r w:rsidR="009C345A">
        <w:t>10075,7</w:t>
      </w:r>
      <w:r w:rsidR="00172165" w:rsidRPr="000410CE">
        <w:t xml:space="preserve"> тыс. руб.</w:t>
      </w:r>
      <w:r w:rsidRPr="000410CE">
        <w:t xml:space="preserve"> </w:t>
      </w:r>
    </w:p>
    <w:p w:rsidR="00A578E2" w:rsidRPr="000410CE" w:rsidRDefault="000410CE" w:rsidP="00210368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410CE">
        <w:rPr>
          <w:rFonts w:eastAsiaTheme="minorHAnsi"/>
          <w:lang w:eastAsia="en-US"/>
        </w:rPr>
        <w:t>В последующие годы для увеличения объемов жилищного строительства требуется</w:t>
      </w:r>
      <w:r w:rsidR="00A578E2" w:rsidRPr="000410CE">
        <w:rPr>
          <w:rFonts w:eastAsiaTheme="minorHAnsi"/>
          <w:lang w:eastAsia="en-US"/>
        </w:rPr>
        <w:t xml:space="preserve"> подготовка земельных участков. Д</w:t>
      </w:r>
      <w:r w:rsidRPr="000410CE">
        <w:rPr>
          <w:rFonts w:eastAsiaTheme="minorHAnsi"/>
          <w:lang w:eastAsia="en-US"/>
        </w:rPr>
        <w:t>ля этого д</w:t>
      </w:r>
      <w:r w:rsidR="00A578E2" w:rsidRPr="000410CE">
        <w:rPr>
          <w:rFonts w:eastAsiaTheme="minorHAnsi"/>
          <w:lang w:eastAsia="en-US"/>
        </w:rPr>
        <w:t>олжна проводиться ревизия земель с целью выявления неиспользуемых или используемых не по назначению земельных участков, пригодных для жилищного</w:t>
      </w:r>
      <w:r w:rsidR="00210368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строительства; должна осуществляться оценка ресурсов, необходимых для подготовки таких участков под застройку</w:t>
      </w:r>
      <w:r w:rsidRPr="000410CE">
        <w:rPr>
          <w:rFonts w:eastAsiaTheme="minorHAnsi"/>
          <w:lang w:eastAsia="en-US"/>
        </w:rPr>
        <w:t xml:space="preserve"> и</w:t>
      </w:r>
      <w:r w:rsidR="00A578E2" w:rsidRPr="000410CE">
        <w:rPr>
          <w:rFonts w:eastAsiaTheme="minorHAnsi"/>
          <w:lang w:eastAsia="en-US"/>
        </w:rPr>
        <w:t xml:space="preserve"> разработаны конкретные планы по обеспечению участков инженерной и</w:t>
      </w:r>
      <w:r w:rsidRPr="000410CE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социальной инфраструктурой</w:t>
      </w:r>
      <w:r w:rsidRPr="000410CE">
        <w:rPr>
          <w:rFonts w:eastAsiaTheme="minorHAnsi"/>
          <w:lang w:eastAsia="en-US"/>
        </w:rPr>
        <w:t xml:space="preserve">. </w:t>
      </w:r>
      <w:r w:rsidR="00A578E2" w:rsidRPr="000410CE">
        <w:rPr>
          <w:rFonts w:eastAsiaTheme="minorHAnsi"/>
          <w:lang w:eastAsia="en-US"/>
        </w:rPr>
        <w:t>Кроме того, необходимо своевременно вносить обоснованные изменения в</w:t>
      </w:r>
      <w:r w:rsidRPr="000410CE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документы территориального планирования и</w:t>
      </w:r>
      <w:r w:rsidRPr="000410CE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правила землепользования и застройки.</w:t>
      </w:r>
      <w:r w:rsidRPr="000410CE">
        <w:rPr>
          <w:rFonts w:eastAsiaTheme="minorHAnsi"/>
          <w:lang w:eastAsia="en-US"/>
        </w:rPr>
        <w:t xml:space="preserve"> Муниципальные услуги в сфере жилищного строительства будут оказываться в максимально короткие сроки.</w:t>
      </w:r>
    </w:p>
    <w:p w:rsidR="00896846" w:rsidRDefault="00896846" w:rsidP="00896846"/>
    <w:p w:rsidR="00896846" w:rsidRDefault="009C2132" w:rsidP="00896846">
      <w:pPr>
        <w:jc w:val="both"/>
        <w:rPr>
          <w:b/>
        </w:rPr>
      </w:pPr>
      <w:r w:rsidRPr="00017AFD">
        <w:t>Показатель 24</w:t>
      </w:r>
      <w:r w:rsidR="00896846" w:rsidRPr="00017AFD">
        <w:t>.</w:t>
      </w:r>
      <w:r w:rsidR="00896846">
        <w:rPr>
          <w:b/>
        </w:rPr>
        <w:t xml:space="preserve"> Общая площадь жилых помещений, приходящаяся в среднем на одного жителя – всего:</w:t>
      </w:r>
    </w:p>
    <w:p w:rsidR="00E323B2" w:rsidRDefault="00E323B2" w:rsidP="00896846">
      <w:pPr>
        <w:jc w:val="both"/>
        <w:rPr>
          <w:b/>
        </w:rPr>
      </w:pPr>
    </w:p>
    <w:p w:rsidR="00106EEF" w:rsidRDefault="00106EEF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667E04" w:rsidTr="00BC651A">
        <w:tc>
          <w:tcPr>
            <w:tcW w:w="5535" w:type="dxa"/>
            <w:gridSpan w:val="5"/>
          </w:tcPr>
          <w:p w:rsidR="00667E04" w:rsidRDefault="00667E04" w:rsidP="00443D78">
            <w:pPr>
              <w:jc w:val="center"/>
            </w:pPr>
            <w:r>
              <w:lastRenderedPageBreak/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667E04" w:rsidRDefault="00667E04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22,74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23,42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23,67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24,27</w:t>
            </w:r>
          </w:p>
        </w:tc>
        <w:tc>
          <w:tcPr>
            <w:tcW w:w="1107" w:type="dxa"/>
          </w:tcPr>
          <w:p w:rsidR="00667E04" w:rsidRDefault="00017AFD" w:rsidP="00443D78">
            <w:pPr>
              <w:jc w:val="center"/>
            </w:pPr>
            <w:r>
              <w:t>24,77</w:t>
            </w:r>
          </w:p>
        </w:tc>
        <w:tc>
          <w:tcPr>
            <w:tcW w:w="1107" w:type="dxa"/>
          </w:tcPr>
          <w:p w:rsidR="00667E04" w:rsidRDefault="00017AFD" w:rsidP="00443D78">
            <w:pPr>
              <w:jc w:val="center"/>
            </w:pPr>
            <w:r>
              <w:t>25,13</w:t>
            </w:r>
          </w:p>
        </w:tc>
        <w:tc>
          <w:tcPr>
            <w:tcW w:w="1108" w:type="dxa"/>
          </w:tcPr>
          <w:p w:rsidR="00667E04" w:rsidRDefault="00017AFD" w:rsidP="00443D78">
            <w:pPr>
              <w:jc w:val="center"/>
            </w:pPr>
            <w:r>
              <w:t>25,54</w:t>
            </w:r>
          </w:p>
        </w:tc>
        <w:tc>
          <w:tcPr>
            <w:tcW w:w="1108" w:type="dxa"/>
          </w:tcPr>
          <w:p w:rsidR="00667E04" w:rsidRDefault="00017AFD" w:rsidP="00443D78">
            <w:pPr>
              <w:jc w:val="center"/>
            </w:pPr>
            <w:r>
              <w:t>25,92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896846" w:rsidRDefault="00896846" w:rsidP="00896846">
      <w:pPr>
        <w:jc w:val="both"/>
      </w:pPr>
      <w:r>
        <w:rPr>
          <w:b/>
        </w:rPr>
        <w:tab/>
      </w:r>
      <w:r>
        <w:t xml:space="preserve">В среднем на одного жителя района обеспеченность общей площадью жилых помещений составила </w:t>
      </w:r>
      <w:proofErr w:type="gramStart"/>
      <w:r>
        <w:t>на к</w:t>
      </w:r>
      <w:r w:rsidR="00E323B2">
        <w:t>онец</w:t>
      </w:r>
      <w:proofErr w:type="gramEnd"/>
      <w:r w:rsidR="00E323B2">
        <w:t xml:space="preserve"> </w:t>
      </w:r>
      <w:r w:rsidR="00017AFD">
        <w:t>2019 года 24,7</w:t>
      </w:r>
      <w:r w:rsidR="00E323B2">
        <w:t>7</w:t>
      </w:r>
      <w:r w:rsidR="009C2132">
        <w:t xml:space="preserve"> кв.</w:t>
      </w:r>
      <w:r w:rsidR="00A044BB">
        <w:t xml:space="preserve"> </w:t>
      </w:r>
      <w:r w:rsidR="009C2132">
        <w:t xml:space="preserve">м. </w:t>
      </w:r>
      <w:r w:rsidR="00B85F7E">
        <w:t>с ростом к показателю</w:t>
      </w:r>
      <w:r w:rsidR="00017AFD">
        <w:t xml:space="preserve"> за 2017 год на 0,5</w:t>
      </w:r>
      <w:r w:rsidR="008969B8">
        <w:t xml:space="preserve"> кв.</w:t>
      </w:r>
      <w:r w:rsidR="00A044BB">
        <w:t xml:space="preserve"> </w:t>
      </w:r>
      <w:r w:rsidR="008969B8">
        <w:t xml:space="preserve">м. </w:t>
      </w:r>
      <w:r>
        <w:t xml:space="preserve">за счет </w:t>
      </w:r>
      <w:r w:rsidR="00017AFD">
        <w:t xml:space="preserve"> ввода в эксплуатацию 1297</w:t>
      </w:r>
      <w:r w:rsidR="009C2132">
        <w:t xml:space="preserve"> кв.</w:t>
      </w:r>
      <w:r w:rsidR="008969B8">
        <w:t xml:space="preserve"> </w:t>
      </w:r>
      <w:r w:rsidR="009C2132">
        <w:t>м. жилья</w:t>
      </w:r>
      <w:r w:rsidR="008969B8">
        <w:t xml:space="preserve"> и снижения  численности населения</w:t>
      </w:r>
      <w:r w:rsidR="00017AFD">
        <w:t>. В плановый период 2020 -  2022</w:t>
      </w:r>
      <w:r w:rsidR="0036723C">
        <w:t xml:space="preserve"> годов</w:t>
      </w:r>
      <w:r w:rsidR="00A044BB">
        <w:t xml:space="preserve"> средняя обеспеченность 1 жителя </w:t>
      </w:r>
      <w:proofErr w:type="gramStart"/>
      <w:r w:rsidR="00A044BB">
        <w:t>обшей площадью ж</w:t>
      </w:r>
      <w:r w:rsidR="00B85F7E">
        <w:t>илых помещений повысится</w:t>
      </w:r>
      <w:proofErr w:type="gramEnd"/>
      <w:r>
        <w:t xml:space="preserve"> за счет ежегодного ввода жилья в экспл</w:t>
      </w:r>
      <w:r w:rsidR="009C2132">
        <w:t>уатацию</w:t>
      </w:r>
      <w:r w:rsidR="00017AFD">
        <w:t xml:space="preserve"> в объеме не менее 1342</w:t>
      </w:r>
      <w:r w:rsidR="0036723C">
        <w:t xml:space="preserve"> кв. м.</w:t>
      </w:r>
      <w:r w:rsidR="00A044BB">
        <w:t xml:space="preserve"> и </w:t>
      </w:r>
      <w:r w:rsidR="00B85F7E">
        <w:t xml:space="preserve">дальнейшего ежегодного </w:t>
      </w:r>
      <w:r w:rsidR="00A044BB">
        <w:t>снижения</w:t>
      </w:r>
      <w:r>
        <w:t xml:space="preserve"> численнос</w:t>
      </w:r>
      <w:r w:rsidR="009C2132">
        <w:t>ти постоянного населения</w:t>
      </w:r>
      <w:r>
        <w:t>.</w:t>
      </w:r>
    </w:p>
    <w:p w:rsidR="00896846" w:rsidRDefault="00896846" w:rsidP="00896846">
      <w:pPr>
        <w:rPr>
          <w:b/>
        </w:rPr>
      </w:pPr>
    </w:p>
    <w:p w:rsidR="00896846" w:rsidRDefault="009C2132" w:rsidP="00896846">
      <w:pPr>
        <w:jc w:val="both"/>
        <w:rPr>
          <w:b/>
        </w:rPr>
      </w:pPr>
      <w:r w:rsidRPr="005D18AC">
        <w:t>Показатель 24</w:t>
      </w:r>
      <w:r w:rsidR="00896846" w:rsidRPr="005D18AC">
        <w:t>а.</w:t>
      </w:r>
      <w:r w:rsidR="00896846">
        <w:rPr>
          <w:b/>
        </w:rPr>
        <w:t xml:space="preserve">  </w:t>
      </w:r>
      <w:r>
        <w:rPr>
          <w:b/>
        </w:rPr>
        <w:t xml:space="preserve">Общая площадь жилых помещений, </w:t>
      </w:r>
      <w:r w:rsidR="00896846">
        <w:rPr>
          <w:b/>
        </w:rPr>
        <w:t>введенная в действие за год:</w:t>
      </w:r>
    </w:p>
    <w:p w:rsidR="00507E13" w:rsidRDefault="00507E1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667E04" w:rsidTr="00BC651A">
        <w:tc>
          <w:tcPr>
            <w:tcW w:w="5535" w:type="dxa"/>
            <w:gridSpan w:val="5"/>
          </w:tcPr>
          <w:p w:rsidR="00667E04" w:rsidRDefault="00667E04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667E04" w:rsidRDefault="00667E04" w:rsidP="00443D78">
            <w:pPr>
              <w:jc w:val="center"/>
            </w:pPr>
            <w:r>
              <w:t>Плановые значения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2022</w:t>
            </w:r>
          </w:p>
        </w:tc>
      </w:tr>
      <w:tr w:rsidR="00667E04" w:rsidTr="00BC651A">
        <w:tc>
          <w:tcPr>
            <w:tcW w:w="1107" w:type="dxa"/>
          </w:tcPr>
          <w:p w:rsidR="00667E04" w:rsidRDefault="00667E04" w:rsidP="002C5735">
            <w:pPr>
              <w:jc w:val="center"/>
            </w:pPr>
            <w:r>
              <w:t>0,30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0,24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0,14</w:t>
            </w:r>
          </w:p>
        </w:tc>
        <w:tc>
          <w:tcPr>
            <w:tcW w:w="1107" w:type="dxa"/>
          </w:tcPr>
          <w:p w:rsidR="00667E04" w:rsidRDefault="00667E04" w:rsidP="00443D78">
            <w:pPr>
              <w:jc w:val="center"/>
            </w:pPr>
            <w:r>
              <w:t>0,14</w:t>
            </w:r>
          </w:p>
        </w:tc>
        <w:tc>
          <w:tcPr>
            <w:tcW w:w="1107" w:type="dxa"/>
          </w:tcPr>
          <w:p w:rsidR="00667E04" w:rsidRDefault="005D18AC" w:rsidP="00443D78">
            <w:pPr>
              <w:jc w:val="center"/>
            </w:pPr>
            <w:r>
              <w:t>0,15</w:t>
            </w:r>
          </w:p>
        </w:tc>
        <w:tc>
          <w:tcPr>
            <w:tcW w:w="1107" w:type="dxa"/>
          </w:tcPr>
          <w:p w:rsidR="00667E04" w:rsidRDefault="005D18AC" w:rsidP="00443D78">
            <w:pPr>
              <w:jc w:val="center"/>
            </w:pPr>
            <w:r>
              <w:t>0,16</w:t>
            </w:r>
          </w:p>
        </w:tc>
        <w:tc>
          <w:tcPr>
            <w:tcW w:w="1108" w:type="dxa"/>
          </w:tcPr>
          <w:p w:rsidR="00667E04" w:rsidRDefault="00667E04" w:rsidP="00443D78">
            <w:pPr>
              <w:jc w:val="center"/>
            </w:pPr>
            <w:r>
              <w:t>0,16</w:t>
            </w:r>
          </w:p>
        </w:tc>
        <w:tc>
          <w:tcPr>
            <w:tcW w:w="1108" w:type="dxa"/>
          </w:tcPr>
          <w:p w:rsidR="00667E04" w:rsidRDefault="005D18AC" w:rsidP="00443D78">
            <w:pPr>
              <w:jc w:val="center"/>
            </w:pPr>
            <w:r>
              <w:t>0,18</w:t>
            </w:r>
          </w:p>
        </w:tc>
      </w:tr>
    </w:tbl>
    <w:p w:rsidR="005C3C82" w:rsidRDefault="005C3C82" w:rsidP="00896846">
      <w:pPr>
        <w:jc w:val="both"/>
        <w:rPr>
          <w:b/>
        </w:rPr>
      </w:pPr>
    </w:p>
    <w:p w:rsidR="005D2231" w:rsidRDefault="005D18AC" w:rsidP="00896846">
      <w:pPr>
        <w:jc w:val="both"/>
      </w:pPr>
      <w:r>
        <w:tab/>
        <w:t>В течение 2019</w:t>
      </w:r>
      <w:r w:rsidR="00896846">
        <w:t xml:space="preserve"> года введено в действие в средн</w:t>
      </w:r>
      <w:r>
        <w:t>ем на 1 жителя района 0,15</w:t>
      </w:r>
      <w:r w:rsidR="00896846">
        <w:t xml:space="preserve"> кв.</w:t>
      </w:r>
      <w:r w:rsidR="00A044BB">
        <w:t xml:space="preserve"> </w:t>
      </w:r>
      <w:r w:rsidR="00896846">
        <w:t>м. общей</w:t>
      </w:r>
      <w:r w:rsidR="00A044BB">
        <w:t xml:space="preserve"> площади жилых </w:t>
      </w:r>
      <w:r w:rsidR="00B85F7E">
        <w:t>помещений. Показатель</w:t>
      </w:r>
      <w:r>
        <w:t xml:space="preserve"> выше уровня</w:t>
      </w:r>
      <w:r w:rsidR="00507E13">
        <w:t xml:space="preserve"> предшествующего года </w:t>
      </w:r>
      <w:r>
        <w:t xml:space="preserve">на 0,1 кв. м. </w:t>
      </w:r>
      <w:r w:rsidR="00507E13">
        <w:t>при объ</w:t>
      </w:r>
      <w:r>
        <w:t>еме жилищного строительства 1297</w:t>
      </w:r>
      <w:r w:rsidR="00507E13">
        <w:t xml:space="preserve"> кв.</w:t>
      </w:r>
      <w:r w:rsidR="00E323B2">
        <w:t xml:space="preserve"> </w:t>
      </w:r>
      <w:r w:rsidR="00507E13">
        <w:t xml:space="preserve">м. </w:t>
      </w:r>
      <w:r w:rsidR="00896846">
        <w:t xml:space="preserve"> </w:t>
      </w:r>
      <w:r w:rsidR="00A044BB">
        <w:t xml:space="preserve"> В прогнозируемый период ожидается ввод в действие жилых помещений в</w:t>
      </w:r>
      <w:r w:rsidR="00B85F7E">
        <w:t xml:space="preserve"> средне</w:t>
      </w:r>
      <w:r w:rsidR="00E323B2">
        <w:t>м на 1 жителя района 0,16</w:t>
      </w:r>
      <w:r>
        <w:t xml:space="preserve"> – 0,18</w:t>
      </w:r>
      <w:r w:rsidR="00A044BB">
        <w:t xml:space="preserve"> кв. м. за сч</w:t>
      </w:r>
      <w:r w:rsidR="0036723C">
        <w:t>ет</w:t>
      </w:r>
      <w:r w:rsidR="00A044BB">
        <w:t xml:space="preserve"> ввода</w:t>
      </w:r>
      <w:r>
        <w:t xml:space="preserve"> ежегодно 1400 - 1342-1486</w:t>
      </w:r>
      <w:r w:rsidR="0036723C">
        <w:t xml:space="preserve"> кв. м</w:t>
      </w:r>
      <w:r w:rsidR="00A044BB">
        <w:t xml:space="preserve"> жилых помещений в эксплуатацию.</w:t>
      </w:r>
    </w:p>
    <w:p w:rsidR="00A044BB" w:rsidRDefault="00A044BB" w:rsidP="00896846">
      <w:pPr>
        <w:jc w:val="both"/>
      </w:pPr>
    </w:p>
    <w:p w:rsidR="005D2231" w:rsidRDefault="005D2231" w:rsidP="005D2231">
      <w:pPr>
        <w:tabs>
          <w:tab w:val="left" w:pos="2055"/>
        </w:tabs>
        <w:jc w:val="both"/>
        <w:rPr>
          <w:b/>
        </w:rPr>
      </w:pPr>
      <w:r w:rsidRPr="005D18AC">
        <w:t>Показатель 25.</w:t>
      </w:r>
      <w:r w:rsidRPr="005D2231">
        <w:t xml:space="preserve"> </w:t>
      </w:r>
      <w:r w:rsidRPr="005D2231">
        <w:rPr>
          <w:b/>
        </w:rPr>
        <w:t>Площадь земельных участков, предоставленных для строительства</w:t>
      </w:r>
      <w:r>
        <w:rPr>
          <w:b/>
        </w:rPr>
        <w:t xml:space="preserve"> в расчете на 10 тыс. человек населения,</w:t>
      </w:r>
      <w:r w:rsidRPr="005D2231">
        <w:rPr>
          <w:b/>
        </w:rPr>
        <w:t xml:space="preserve"> - всего</w:t>
      </w:r>
    </w:p>
    <w:p w:rsidR="00507E13" w:rsidRDefault="00507E13" w:rsidP="005D2231">
      <w:pPr>
        <w:tabs>
          <w:tab w:val="left" w:pos="2055"/>
        </w:tabs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742155" w:rsidTr="00BC651A">
        <w:tc>
          <w:tcPr>
            <w:tcW w:w="5535" w:type="dxa"/>
            <w:gridSpan w:val="5"/>
          </w:tcPr>
          <w:p w:rsidR="00742155" w:rsidRDefault="00742155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742155" w:rsidRDefault="00742155" w:rsidP="00443D78">
            <w:pPr>
              <w:jc w:val="center"/>
            </w:pPr>
            <w:r>
              <w:t>Плановые значения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2022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2C5735">
            <w:pPr>
              <w:jc w:val="center"/>
            </w:pPr>
            <w:r>
              <w:t>4,24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5,88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7,87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4,36</w:t>
            </w:r>
          </w:p>
        </w:tc>
        <w:tc>
          <w:tcPr>
            <w:tcW w:w="1107" w:type="dxa"/>
          </w:tcPr>
          <w:p w:rsidR="00742155" w:rsidRDefault="005D18AC" w:rsidP="00443D78">
            <w:pPr>
              <w:jc w:val="center"/>
            </w:pPr>
            <w:r>
              <w:t>10,24</w:t>
            </w:r>
          </w:p>
        </w:tc>
        <w:tc>
          <w:tcPr>
            <w:tcW w:w="1107" w:type="dxa"/>
          </w:tcPr>
          <w:p w:rsidR="00742155" w:rsidRDefault="005D18AC" w:rsidP="00443D78">
            <w:pPr>
              <w:jc w:val="center"/>
            </w:pPr>
            <w:r>
              <w:t>4</w:t>
            </w:r>
            <w:r w:rsidR="00742155">
              <w:t>,50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4,50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4,50</w:t>
            </w:r>
          </w:p>
        </w:tc>
      </w:tr>
    </w:tbl>
    <w:p w:rsidR="005C3C82" w:rsidRPr="005D2231" w:rsidRDefault="005C3C82" w:rsidP="005D2231">
      <w:pPr>
        <w:tabs>
          <w:tab w:val="left" w:pos="2055"/>
        </w:tabs>
        <w:jc w:val="both"/>
        <w:rPr>
          <w:b/>
        </w:rPr>
      </w:pPr>
    </w:p>
    <w:p w:rsidR="005D2231" w:rsidRDefault="005D18AC" w:rsidP="005D2231">
      <w:pPr>
        <w:ind w:firstLine="708"/>
        <w:jc w:val="both"/>
      </w:pPr>
      <w:r>
        <w:t>В 2019</w:t>
      </w:r>
      <w:r w:rsidR="005D2231" w:rsidRPr="005D2231">
        <w:t xml:space="preserve"> году площадь </w:t>
      </w:r>
      <w:proofErr w:type="gramStart"/>
      <w:r w:rsidR="005D2231" w:rsidRPr="005D2231">
        <w:t>земельных участков, предостав</w:t>
      </w:r>
      <w:r w:rsidR="005D2231">
        <w:t>ленных дл</w:t>
      </w:r>
      <w:r>
        <w:t>я строительства составляет</w:t>
      </w:r>
      <w:proofErr w:type="gramEnd"/>
      <w:r>
        <w:t xml:space="preserve"> 10,24</w:t>
      </w:r>
      <w:r w:rsidR="005D2231">
        <w:t xml:space="preserve"> га </w:t>
      </w:r>
      <w:r w:rsidR="005D2231" w:rsidRPr="005D2231">
        <w:t xml:space="preserve"> в расчете на 10 тыс.</w:t>
      </w:r>
      <w:r w:rsidR="005D2231">
        <w:t xml:space="preserve"> человек </w:t>
      </w:r>
      <w:r>
        <w:t>населения. Рост</w:t>
      </w:r>
      <w:r w:rsidR="005D2231" w:rsidRPr="005D2231">
        <w:t xml:space="preserve"> показателя</w:t>
      </w:r>
      <w:r>
        <w:t xml:space="preserve"> к уровню 2018</w:t>
      </w:r>
      <w:r w:rsidR="00B85F7E">
        <w:t xml:space="preserve"> года </w:t>
      </w:r>
      <w:r w:rsidR="005D2231" w:rsidRPr="005D2231">
        <w:t xml:space="preserve"> обусловлен</w:t>
      </w:r>
      <w:r>
        <w:t>о ростом</w:t>
      </w:r>
      <w:r w:rsidR="00507E13">
        <w:t xml:space="preserve"> предоставления</w:t>
      </w:r>
      <w:r w:rsidR="005D2231" w:rsidRPr="005D2231">
        <w:t xml:space="preserve"> земел</w:t>
      </w:r>
      <w:r w:rsidR="00507E13">
        <w:t>ьных участков под строительство</w:t>
      </w:r>
      <w:r>
        <w:t xml:space="preserve">, включая под строительство стадиона </w:t>
      </w:r>
      <w:proofErr w:type="gramStart"/>
      <w:r>
        <w:t>в</w:t>
      </w:r>
      <w:proofErr w:type="gramEnd"/>
      <w:r>
        <w:t xml:space="preserve"> с. Красногорское</w:t>
      </w:r>
      <w:r w:rsidR="00507E13">
        <w:t xml:space="preserve">. </w:t>
      </w:r>
      <w:r>
        <w:t>В 2020-2022</w:t>
      </w:r>
      <w:r w:rsidR="00B87F1F">
        <w:t xml:space="preserve"> годах</w:t>
      </w:r>
      <w:r w:rsidR="005D2231" w:rsidRPr="005D2231">
        <w:t xml:space="preserve"> </w:t>
      </w:r>
      <w:r w:rsidR="00B5785B">
        <w:t>площадь</w:t>
      </w:r>
      <w:r w:rsidR="00B87F1F">
        <w:t xml:space="preserve"> земельных участков</w:t>
      </w:r>
      <w:r w:rsidR="00CD7973">
        <w:t>,</w:t>
      </w:r>
      <w:r w:rsidR="00B5785B">
        <w:t xml:space="preserve"> предоставляемая под строительство</w:t>
      </w:r>
      <w:r w:rsidR="00B87F1F">
        <w:t xml:space="preserve"> в расчете на 10 тыс. человек населения ожидается на уровне </w:t>
      </w:r>
      <w:r w:rsidR="00507E13">
        <w:t xml:space="preserve"> 4,5</w:t>
      </w:r>
      <w:r w:rsidR="00CD7973">
        <w:t xml:space="preserve"> га</w:t>
      </w:r>
      <w:r w:rsidR="00B87F1F">
        <w:t xml:space="preserve"> с учетом среднегодовых показателей выделения земельных участков под строительство</w:t>
      </w:r>
      <w:r w:rsidR="005D2231" w:rsidRPr="005D2231">
        <w:t>.</w:t>
      </w:r>
    </w:p>
    <w:p w:rsidR="005D2231" w:rsidRDefault="005D2231" w:rsidP="005D2231">
      <w:pPr>
        <w:jc w:val="both"/>
      </w:pPr>
    </w:p>
    <w:p w:rsidR="005D2231" w:rsidRDefault="005D2231" w:rsidP="005D2231">
      <w:pPr>
        <w:jc w:val="both"/>
        <w:rPr>
          <w:b/>
        </w:rPr>
      </w:pPr>
      <w:r w:rsidRPr="005D18AC">
        <w:t>Показатель 25а.</w:t>
      </w:r>
      <w:r w:rsidRPr="005D2231">
        <w:t xml:space="preserve"> </w:t>
      </w:r>
      <w:r>
        <w:rPr>
          <w:b/>
        </w:rPr>
        <w:t>В том числе п</w:t>
      </w:r>
      <w:r w:rsidRPr="005D2231">
        <w:rPr>
          <w:b/>
        </w:rPr>
        <w:t>лощадь земельных участков, предоставленных для жилищного строител</w:t>
      </w:r>
      <w:r>
        <w:rPr>
          <w:b/>
        </w:rPr>
        <w:t>ьства, индивидуального</w:t>
      </w:r>
      <w:r w:rsidRPr="005D2231">
        <w:rPr>
          <w:b/>
        </w:rPr>
        <w:t xml:space="preserve"> строительства</w:t>
      </w:r>
      <w:r>
        <w:rPr>
          <w:b/>
        </w:rPr>
        <w:t xml:space="preserve"> и комплексного освоения в целях жилищного строительства</w:t>
      </w:r>
    </w:p>
    <w:p w:rsidR="00507E13" w:rsidRDefault="00507E13" w:rsidP="005D2231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742155" w:rsidTr="00BC651A">
        <w:tc>
          <w:tcPr>
            <w:tcW w:w="5535" w:type="dxa"/>
            <w:gridSpan w:val="5"/>
          </w:tcPr>
          <w:p w:rsidR="00742155" w:rsidRDefault="00742155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742155" w:rsidRDefault="00742155" w:rsidP="00443D78">
            <w:pPr>
              <w:jc w:val="center"/>
            </w:pPr>
            <w:r>
              <w:t>Плановые значения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2022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2C5735">
            <w:pPr>
              <w:jc w:val="center"/>
            </w:pPr>
            <w:r>
              <w:t>3,18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2,33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1,35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1,46</w:t>
            </w:r>
          </w:p>
        </w:tc>
        <w:tc>
          <w:tcPr>
            <w:tcW w:w="1107" w:type="dxa"/>
          </w:tcPr>
          <w:p w:rsidR="00742155" w:rsidRDefault="005D18AC" w:rsidP="00443D78">
            <w:pPr>
              <w:jc w:val="center"/>
            </w:pPr>
            <w:r>
              <w:t>4,13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1,5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1,5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1,5</w:t>
            </w:r>
          </w:p>
        </w:tc>
      </w:tr>
    </w:tbl>
    <w:p w:rsidR="005C3C82" w:rsidRPr="005D2231" w:rsidRDefault="005C3C82" w:rsidP="005D2231">
      <w:pPr>
        <w:jc w:val="both"/>
        <w:rPr>
          <w:b/>
        </w:rPr>
      </w:pPr>
    </w:p>
    <w:p w:rsidR="005D2231" w:rsidRPr="005D2231" w:rsidRDefault="005D2231" w:rsidP="005D2231">
      <w:pPr>
        <w:ind w:firstLine="708"/>
        <w:jc w:val="both"/>
      </w:pPr>
      <w:r w:rsidRPr="005D2231">
        <w:t>Площадь земельных участков, предоставленных для жилищного строител</w:t>
      </w:r>
      <w:r w:rsidR="00A457C0">
        <w:t>ьства, индивидуального</w:t>
      </w:r>
      <w:r w:rsidRPr="005D2231">
        <w:t xml:space="preserve"> строительства</w:t>
      </w:r>
      <w:r w:rsidR="00A457C0">
        <w:t>, комплексного освоения в целях жилищного строительства в расчете на 1</w:t>
      </w:r>
      <w:r w:rsidR="005D18AC">
        <w:t>0 тыс. человек населения  в 2019</w:t>
      </w:r>
      <w:r w:rsidR="00CD7973">
        <w:t xml:space="preserve"> год</w:t>
      </w:r>
      <w:r w:rsidR="00B87F1F">
        <w:t>у составила</w:t>
      </w:r>
      <w:r w:rsidR="005D18AC">
        <w:t xml:space="preserve"> 4,13 га против 1,46 га за 2018</w:t>
      </w:r>
      <w:r w:rsidR="00B87F1F">
        <w:t xml:space="preserve"> год за счет </w:t>
      </w:r>
      <w:r w:rsidR="00507E13">
        <w:t>прироста</w:t>
      </w:r>
      <w:r w:rsidR="00B87F1F">
        <w:t xml:space="preserve"> чис</w:t>
      </w:r>
      <w:r w:rsidR="00507E13">
        <w:t>ла заявителей на жилищное строительство</w:t>
      </w:r>
      <w:r w:rsidR="00A457C0">
        <w:t>. В планируемый период выделение земельных участков указаны с учетом среднегодовых объемов выделения земельных участков под жилищное строительство</w:t>
      </w:r>
      <w:r w:rsidR="00507E13">
        <w:t xml:space="preserve"> (1,5</w:t>
      </w:r>
      <w:r w:rsidR="00CD7973">
        <w:t xml:space="preserve"> га)</w:t>
      </w:r>
      <w:r w:rsidR="00A457C0">
        <w:t>.</w:t>
      </w:r>
    </w:p>
    <w:p w:rsidR="005D2231" w:rsidRDefault="005D2231" w:rsidP="005D2231">
      <w:pPr>
        <w:jc w:val="both"/>
      </w:pPr>
    </w:p>
    <w:p w:rsidR="00A457C0" w:rsidRPr="00A457C0" w:rsidRDefault="00A457C0" w:rsidP="00A457C0">
      <w:pPr>
        <w:jc w:val="both"/>
        <w:rPr>
          <w:b/>
        </w:rPr>
      </w:pPr>
      <w:r w:rsidRPr="000F2E41">
        <w:t>Пок</w:t>
      </w:r>
      <w:r>
        <w:t>азатель 26</w:t>
      </w:r>
      <w:r w:rsidRPr="00A457C0">
        <w:t xml:space="preserve">. </w:t>
      </w:r>
      <w:r w:rsidRPr="00A457C0">
        <w:rPr>
          <w:b/>
        </w:rPr>
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</w:t>
      </w:r>
      <w:r w:rsidRPr="00A457C0">
        <w:rPr>
          <w:b/>
        </w:rPr>
        <w:lastRenderedPageBreak/>
        <w:t>или подписания протокола о результатах торгов (конкурсов, аукционов) не было получено разрешение на ввод в эксплуатацию:</w:t>
      </w:r>
    </w:p>
    <w:p w:rsidR="00A457C0" w:rsidRPr="00A457C0" w:rsidRDefault="00A457C0" w:rsidP="00A457C0">
      <w:pPr>
        <w:jc w:val="both"/>
      </w:pPr>
    </w:p>
    <w:p w:rsidR="00A457C0" w:rsidRDefault="00A457C0" w:rsidP="00A457C0">
      <w:pPr>
        <w:jc w:val="both"/>
        <w:rPr>
          <w:b/>
        </w:rPr>
      </w:pPr>
      <w:r>
        <w:t>Показатель 26</w:t>
      </w:r>
      <w:r w:rsidRPr="00A457C0">
        <w:t xml:space="preserve">а. </w:t>
      </w:r>
      <w:r w:rsidRPr="00A457C0">
        <w:rPr>
          <w:b/>
        </w:rPr>
        <w:t>объектов жилищного строительства – в течение 3 лет</w:t>
      </w:r>
    </w:p>
    <w:p w:rsidR="00507E13" w:rsidRDefault="00507E13" w:rsidP="00A457C0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742155" w:rsidTr="00BC651A">
        <w:tc>
          <w:tcPr>
            <w:tcW w:w="5535" w:type="dxa"/>
            <w:gridSpan w:val="5"/>
          </w:tcPr>
          <w:p w:rsidR="00742155" w:rsidRDefault="00742155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742155" w:rsidRDefault="00742155" w:rsidP="00443D78">
            <w:pPr>
              <w:jc w:val="center"/>
            </w:pPr>
            <w:r>
              <w:t>Плановые значения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2022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</w:tr>
    </w:tbl>
    <w:p w:rsidR="005C3C82" w:rsidRPr="00A457C0" w:rsidRDefault="005C3C82" w:rsidP="00A457C0">
      <w:pPr>
        <w:jc w:val="both"/>
      </w:pPr>
    </w:p>
    <w:p w:rsidR="00A457C0" w:rsidRPr="00A457C0" w:rsidRDefault="00CD7973" w:rsidP="00A457C0">
      <w:pPr>
        <w:ind w:firstLine="708"/>
        <w:jc w:val="both"/>
      </w:pPr>
      <w:r>
        <w:t>Земельных участков, в отношении которых не получено разрешение</w:t>
      </w:r>
      <w:r w:rsidR="00A457C0" w:rsidRPr="00A457C0">
        <w:t xml:space="preserve"> </w:t>
      </w:r>
      <w:r w:rsidR="00A457C0">
        <w:t>на ввод в эксплуатацию в срок свыше</w:t>
      </w:r>
      <w:r w:rsidR="00A457C0" w:rsidRPr="00A457C0">
        <w:t xml:space="preserve"> трех лет с момента принятия решения о выдел</w:t>
      </w:r>
      <w:r w:rsidR="00A457C0">
        <w:t>ении земельного участка объекта</w:t>
      </w:r>
      <w:r w:rsidR="00A457C0" w:rsidRPr="00A457C0">
        <w:t xml:space="preserve"> жилищного строитель</w:t>
      </w:r>
      <w:r w:rsidR="00A457C0">
        <w:t>ства</w:t>
      </w:r>
      <w:r w:rsidR="00742155">
        <w:t xml:space="preserve"> в 2019</w:t>
      </w:r>
      <w:r>
        <w:t xml:space="preserve"> году нет</w:t>
      </w:r>
      <w:r w:rsidR="00A457C0" w:rsidRPr="00A457C0">
        <w:t>. В последующие три год</w:t>
      </w:r>
      <w:r w:rsidR="000329D4">
        <w:t>а строительство многоквартирных домов не планируется</w:t>
      </w:r>
      <w:r w:rsidR="00A457C0" w:rsidRPr="00A457C0">
        <w:t>.</w:t>
      </w:r>
    </w:p>
    <w:p w:rsidR="00A457C0" w:rsidRPr="00A457C0" w:rsidRDefault="00A457C0" w:rsidP="00A457C0">
      <w:pPr>
        <w:jc w:val="both"/>
      </w:pPr>
      <w:r w:rsidRPr="00A457C0">
        <w:t xml:space="preserve"> </w:t>
      </w:r>
    </w:p>
    <w:p w:rsidR="00A457C0" w:rsidRDefault="000329D4" w:rsidP="00A457C0">
      <w:pPr>
        <w:jc w:val="both"/>
        <w:rPr>
          <w:b/>
        </w:rPr>
      </w:pPr>
      <w:r>
        <w:t>Показатель 26</w:t>
      </w:r>
      <w:r w:rsidR="00A457C0" w:rsidRPr="00A457C0">
        <w:t xml:space="preserve">б. </w:t>
      </w:r>
      <w:r w:rsidR="00A457C0" w:rsidRPr="00A457C0">
        <w:rPr>
          <w:b/>
        </w:rPr>
        <w:t>иных объектов капитального строительства – в течение 5 лет</w:t>
      </w:r>
    </w:p>
    <w:p w:rsidR="00507E13" w:rsidRDefault="00507E13" w:rsidP="00A457C0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742155" w:rsidTr="00BC651A">
        <w:tc>
          <w:tcPr>
            <w:tcW w:w="5535" w:type="dxa"/>
            <w:gridSpan w:val="5"/>
          </w:tcPr>
          <w:p w:rsidR="00742155" w:rsidRDefault="00742155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742155" w:rsidRDefault="00742155" w:rsidP="00443D78">
            <w:pPr>
              <w:jc w:val="center"/>
            </w:pPr>
            <w:r>
              <w:t>Плановые значения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2022</w:t>
            </w:r>
          </w:p>
        </w:tc>
      </w:tr>
      <w:tr w:rsidR="00742155" w:rsidTr="00BC651A">
        <w:tc>
          <w:tcPr>
            <w:tcW w:w="1107" w:type="dxa"/>
          </w:tcPr>
          <w:p w:rsidR="00742155" w:rsidRDefault="0074215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742155" w:rsidRDefault="00742155" w:rsidP="00443D78">
            <w:pPr>
              <w:jc w:val="center"/>
            </w:pPr>
            <w:r>
              <w:t>0</w:t>
            </w:r>
          </w:p>
        </w:tc>
      </w:tr>
    </w:tbl>
    <w:p w:rsidR="005C3C82" w:rsidRPr="00A457C0" w:rsidRDefault="005C3C82" w:rsidP="00A457C0">
      <w:pPr>
        <w:jc w:val="both"/>
        <w:rPr>
          <w:b/>
        </w:rPr>
      </w:pPr>
    </w:p>
    <w:p w:rsidR="00A457C0" w:rsidRPr="00A457C0" w:rsidRDefault="00742155" w:rsidP="00A457C0">
      <w:pPr>
        <w:ind w:firstLine="708"/>
        <w:jc w:val="both"/>
      </w:pPr>
      <w:r>
        <w:t>В 2019</w:t>
      </w:r>
      <w:r w:rsidR="000329D4">
        <w:t xml:space="preserve"> году не было</w:t>
      </w:r>
      <w:r w:rsidR="00CD7973">
        <w:t xml:space="preserve"> земельных участков, в отношении которых не получено разрешение</w:t>
      </w:r>
      <w:r w:rsidR="00A457C0" w:rsidRPr="00A457C0">
        <w:t xml:space="preserve"> </w:t>
      </w:r>
      <w:r w:rsidR="000329D4">
        <w:t xml:space="preserve">на </w:t>
      </w:r>
      <w:r w:rsidR="00BB4BE3">
        <w:t xml:space="preserve">ввод в эксплуатацию в срок </w:t>
      </w:r>
      <w:r w:rsidR="00A457C0" w:rsidRPr="00A457C0">
        <w:t xml:space="preserve"> 5 лет с момента принятия решения о выделении земельного участка</w:t>
      </w:r>
      <w:r w:rsidR="00BB4BE3">
        <w:t xml:space="preserve"> под иные объекты</w:t>
      </w:r>
      <w:r w:rsidR="00A457C0" w:rsidRPr="00A457C0">
        <w:t xml:space="preserve"> капитал</w:t>
      </w:r>
      <w:r w:rsidR="000329D4">
        <w:t>ьного строительства</w:t>
      </w:r>
      <w:r w:rsidR="00A457C0" w:rsidRPr="00A457C0">
        <w:t xml:space="preserve">. </w:t>
      </w:r>
      <w:r w:rsidR="000329D4">
        <w:t>Ожидается, что в плановый период</w:t>
      </w:r>
      <w:r w:rsidR="00A457C0" w:rsidRPr="00A457C0">
        <w:t xml:space="preserve"> земельных участков, предоставленных для иного капитального строительства, в отношении которых не получено разрешение на ввод в эксплуатацию в течение пяти лет, не будет.</w:t>
      </w:r>
    </w:p>
    <w:p w:rsidR="00A457C0" w:rsidRDefault="00A457C0" w:rsidP="005D2231">
      <w:pPr>
        <w:jc w:val="both"/>
      </w:pPr>
    </w:p>
    <w:p w:rsidR="000329D4" w:rsidRDefault="000329D4" w:rsidP="000329D4">
      <w:pPr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 ЖИЛИЩНО-КОММУНАЛЬНОЕ ХОЗЯЙСТВО</w:t>
      </w:r>
    </w:p>
    <w:p w:rsidR="00E24983" w:rsidRDefault="00E36534" w:rsidP="00E24983">
      <w:pPr>
        <w:ind w:firstLine="708"/>
        <w:jc w:val="both"/>
      </w:pPr>
      <w:r w:rsidRPr="000F2E41">
        <w:t>Пр</w:t>
      </w:r>
      <w:r>
        <w:t>едприятие жилищно-комму</w:t>
      </w:r>
      <w:r w:rsidR="00D02CE0">
        <w:t>нальног</w:t>
      </w:r>
      <w:r w:rsidR="00B87F1F">
        <w:t>о</w:t>
      </w:r>
      <w:r w:rsidR="00B80DA6">
        <w:t xml:space="preserve"> хозяйства района в 2019</w:t>
      </w:r>
      <w:r>
        <w:t xml:space="preserve"> году обеспечило устойчивую работу всех объектов жизнеобеспечения района. </w:t>
      </w:r>
      <w:r w:rsidR="00D02CE0">
        <w:t>Своевременно получен паспорт готовности района к отопительному периоду. Подготовка велась за счет сре</w:t>
      </w:r>
      <w:r w:rsidR="00F61CAD">
        <w:t>д</w:t>
      </w:r>
      <w:r w:rsidR="00763A55">
        <w:t>ств субсидии из бюджета УР (</w:t>
      </w:r>
      <w:r w:rsidR="00B80DA6">
        <w:t>3,2</w:t>
      </w:r>
      <w:r w:rsidR="00D02CE0" w:rsidRPr="00E24983">
        <w:t xml:space="preserve"> млн</w:t>
      </w:r>
      <w:r w:rsidR="00D02CE0">
        <w:t>. руб.), и средств арендной платы.</w:t>
      </w:r>
      <w:r w:rsidR="005C3C82">
        <w:t xml:space="preserve"> </w:t>
      </w:r>
      <w:r w:rsidR="00B80DA6">
        <w:t>В 2019 году заменены 3</w:t>
      </w:r>
      <w:r w:rsidR="00E24983">
        <w:t xml:space="preserve"> котла в котельных района, промыты 3 артезианских скважины, </w:t>
      </w:r>
      <w:r w:rsidR="00E24983" w:rsidRPr="00E24983">
        <w:t xml:space="preserve">проведен капитальный ремонт  </w:t>
      </w:r>
      <w:r w:rsidR="00B80DA6">
        <w:t>сетей водоснабжения двух улиц (Кирова</w:t>
      </w:r>
      <w:r w:rsidR="00742155">
        <w:t xml:space="preserve"> (470 м) и Первомайская (504 м), капитальный ремонт теплотрассы  котельной № 2 (до гимназии) протяженностью 54,1 м</w:t>
      </w:r>
      <w:r w:rsidR="00E24983" w:rsidRPr="00E24983">
        <w:t>.</w:t>
      </w:r>
    </w:p>
    <w:p w:rsidR="00E36534" w:rsidRDefault="005C3C82" w:rsidP="005C3C82">
      <w:pPr>
        <w:ind w:firstLine="708"/>
        <w:jc w:val="both"/>
      </w:pPr>
      <w:r>
        <w:t>Объем услуг</w:t>
      </w:r>
      <w:r w:rsidR="00210368">
        <w:t xml:space="preserve"> ООО «Энергия»</w:t>
      </w:r>
      <w:r w:rsidR="00742155">
        <w:t xml:space="preserve"> за 2019 год составил 47,8</w:t>
      </w:r>
      <w:r w:rsidR="00AE7C2F">
        <w:t xml:space="preserve"> млн. руб. Обслуживается 16,0</w:t>
      </w:r>
      <w:r w:rsidR="00742155">
        <w:t xml:space="preserve">44 </w:t>
      </w:r>
      <w:proofErr w:type="spellStart"/>
      <w:r w:rsidR="00742155">
        <w:t>кв.м</w:t>
      </w:r>
      <w:proofErr w:type="spellEnd"/>
      <w:r w:rsidR="00742155">
        <w:t>. жилья, реализовано 14,46</w:t>
      </w:r>
      <w:r w:rsidR="00AE7C2F">
        <w:t xml:space="preserve"> ты</w:t>
      </w:r>
      <w:r w:rsidR="00742155">
        <w:t>с. Гкал тепловой энергии, 169,6</w:t>
      </w:r>
      <w:r w:rsidR="00AE7C2F">
        <w:t xml:space="preserve"> тыс. куб</w:t>
      </w:r>
      <w:r w:rsidR="00742155">
        <w:t>. м холодной воды, очищено 23,2</w:t>
      </w:r>
      <w:r w:rsidR="00AE7C2F">
        <w:t xml:space="preserve"> тыс. </w:t>
      </w:r>
      <w:proofErr w:type="spellStart"/>
      <w:r w:rsidR="00AE7C2F">
        <w:t>куб.м</w:t>
      </w:r>
      <w:proofErr w:type="spellEnd"/>
      <w:r w:rsidR="00AE7C2F">
        <w:t>. стоков и выв</w:t>
      </w:r>
      <w:r w:rsidR="00742155">
        <w:t>езено 8,5</w:t>
      </w:r>
      <w:r w:rsidR="00AE7C2F">
        <w:t xml:space="preserve"> тыс. </w:t>
      </w:r>
      <w:proofErr w:type="spellStart"/>
      <w:r w:rsidR="00AE7C2F">
        <w:t>куб.м</w:t>
      </w:r>
      <w:proofErr w:type="spellEnd"/>
      <w:r w:rsidR="00AE7C2F">
        <w:t>. жидких бытовых отходов, соб</w:t>
      </w:r>
      <w:r w:rsidR="00742155">
        <w:t xml:space="preserve">рано 1314 </w:t>
      </w:r>
      <w:proofErr w:type="spellStart"/>
      <w:r w:rsidR="00742155">
        <w:t>куб.м</w:t>
      </w:r>
      <w:proofErr w:type="spellEnd"/>
      <w:r w:rsidR="00742155">
        <w:t>. твердых коммунальных</w:t>
      </w:r>
      <w:r w:rsidR="00AE7C2F">
        <w:t xml:space="preserve"> отходов.</w:t>
      </w:r>
    </w:p>
    <w:p w:rsidR="005C3C82" w:rsidRPr="005C3C82" w:rsidRDefault="00E36534" w:rsidP="005C3C82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t>Острой проблемой остается состояние коммунальной инфраструктуры. В ветхом состоянии находятся половина всех водопроводных сетей района. Нуждаются в замене сет</w:t>
      </w:r>
      <w:r w:rsidR="00D72CF4">
        <w:t>и теплоснабжения. Износ</w:t>
      </w:r>
      <w:r>
        <w:t xml:space="preserve"> очистных сооружений</w:t>
      </w:r>
      <w:r w:rsidR="00D72CF4">
        <w:t xml:space="preserve"> 100%</w:t>
      </w:r>
      <w:r>
        <w:t xml:space="preserve">. </w:t>
      </w:r>
      <w:r w:rsidR="005C3C82">
        <w:rPr>
          <w:rFonts w:eastAsiaTheme="minorHAnsi"/>
          <w:sz w:val="26"/>
          <w:szCs w:val="26"/>
          <w:lang w:eastAsia="en-US"/>
        </w:rPr>
        <w:t>Значение показателей во многом зависит от объема бюджетных средств, направленных на финансирование мероприятий по улучшению жилищных условий граждан.</w:t>
      </w:r>
    </w:p>
    <w:p w:rsidR="00E36534" w:rsidRDefault="00B5344F" w:rsidP="005C3C82">
      <w:pPr>
        <w:ind w:firstLine="708"/>
        <w:jc w:val="both"/>
      </w:pPr>
      <w:r>
        <w:t>Пр</w:t>
      </w:r>
      <w:r w:rsidR="00D02CE0">
        <w:t xml:space="preserve">едприятие ЖКХ </w:t>
      </w:r>
      <w:r w:rsidR="00D72CF4">
        <w:t>– ООО «Энергия» накопила</w:t>
      </w:r>
      <w:r w:rsidR="00D02CE0">
        <w:t xml:space="preserve"> долги по оплате за энергоресурсы</w:t>
      </w:r>
      <w:r w:rsidR="005C3C82">
        <w:t xml:space="preserve"> более 6</w:t>
      </w:r>
      <w:r w:rsidR="00D72CF4">
        <w:t xml:space="preserve">  млн. руб. </w:t>
      </w:r>
      <w:r w:rsidR="000A11CC">
        <w:t xml:space="preserve">На показатель влияет и </w:t>
      </w:r>
      <w:r w:rsidR="00A56EBA">
        <w:t>накопившиеся долги населения по оплате за комму</w:t>
      </w:r>
      <w:r w:rsidR="004245C5">
        <w:t>нальные услуги в сумме более 1,5</w:t>
      </w:r>
      <w:r w:rsidR="00A56EBA">
        <w:t xml:space="preserve"> млн. руб.</w:t>
      </w:r>
    </w:p>
    <w:p w:rsidR="00896846" w:rsidRPr="009A3D43" w:rsidRDefault="00896846" w:rsidP="00896846">
      <w:pPr>
        <w:jc w:val="both"/>
      </w:pPr>
    </w:p>
    <w:p w:rsidR="00896846" w:rsidRDefault="00D601D2" w:rsidP="00896846">
      <w:pPr>
        <w:jc w:val="both"/>
        <w:rPr>
          <w:b/>
        </w:rPr>
      </w:pPr>
      <w:r w:rsidRPr="000F2E41">
        <w:t>Показатель № 27</w:t>
      </w:r>
      <w:r w:rsidR="00896846" w:rsidRPr="000F2E41">
        <w:t>.</w:t>
      </w:r>
      <w:r w:rsidR="00896846" w:rsidRPr="000F2E41">
        <w:rPr>
          <w:b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</w:t>
      </w:r>
      <w:r w:rsidR="00E36534" w:rsidRPr="000F2E41">
        <w:rPr>
          <w:b/>
        </w:rPr>
        <w:t xml:space="preserve"> в общем числе многоквартирных домов, в которых собственники помещений должны выбрать способ управления данными домами</w:t>
      </w:r>
      <w:r w:rsidR="00896846" w:rsidRPr="000F2E41">
        <w:rPr>
          <w:b/>
        </w:rPr>
        <w:t>:</w:t>
      </w:r>
    </w:p>
    <w:p w:rsidR="002435FD" w:rsidRDefault="002435FD" w:rsidP="00896846">
      <w:pPr>
        <w:jc w:val="both"/>
        <w:rPr>
          <w:b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30"/>
        <w:gridCol w:w="1031"/>
        <w:gridCol w:w="1031"/>
        <w:gridCol w:w="1031"/>
        <w:gridCol w:w="1088"/>
        <w:gridCol w:w="993"/>
        <w:gridCol w:w="992"/>
        <w:gridCol w:w="992"/>
      </w:tblGrid>
      <w:tr w:rsidR="009C75A6" w:rsidTr="00BC651A">
        <w:tc>
          <w:tcPr>
            <w:tcW w:w="5211" w:type="dxa"/>
            <w:gridSpan w:val="5"/>
          </w:tcPr>
          <w:p w:rsidR="009C75A6" w:rsidRDefault="009C75A6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2977" w:type="dxa"/>
            <w:gridSpan w:val="3"/>
          </w:tcPr>
          <w:p w:rsidR="009C75A6" w:rsidRDefault="009C75A6" w:rsidP="00443D78">
            <w:pPr>
              <w:jc w:val="center"/>
            </w:pPr>
            <w:r>
              <w:t>Плановые значения</w:t>
            </w:r>
          </w:p>
        </w:tc>
      </w:tr>
      <w:tr w:rsidR="009C75A6" w:rsidTr="009C75A6">
        <w:tc>
          <w:tcPr>
            <w:tcW w:w="1030" w:type="dxa"/>
          </w:tcPr>
          <w:p w:rsidR="009C75A6" w:rsidRDefault="009C75A6" w:rsidP="00443D78">
            <w:pPr>
              <w:jc w:val="both"/>
            </w:pPr>
            <w:r>
              <w:t>2015</w:t>
            </w:r>
          </w:p>
        </w:tc>
        <w:tc>
          <w:tcPr>
            <w:tcW w:w="1031" w:type="dxa"/>
          </w:tcPr>
          <w:p w:rsidR="009C75A6" w:rsidRDefault="009C75A6" w:rsidP="00443D78">
            <w:pPr>
              <w:jc w:val="center"/>
            </w:pPr>
            <w:r>
              <w:t>2016</w:t>
            </w:r>
          </w:p>
        </w:tc>
        <w:tc>
          <w:tcPr>
            <w:tcW w:w="1031" w:type="dxa"/>
          </w:tcPr>
          <w:p w:rsidR="009C75A6" w:rsidRDefault="009C75A6" w:rsidP="00443D78">
            <w:pPr>
              <w:jc w:val="center"/>
            </w:pPr>
            <w:r>
              <w:t>2017</w:t>
            </w:r>
          </w:p>
        </w:tc>
        <w:tc>
          <w:tcPr>
            <w:tcW w:w="1031" w:type="dxa"/>
          </w:tcPr>
          <w:p w:rsidR="009C75A6" w:rsidRDefault="009C75A6" w:rsidP="00443D78">
            <w:pPr>
              <w:jc w:val="center"/>
            </w:pPr>
            <w:r>
              <w:t>2018</w:t>
            </w:r>
          </w:p>
        </w:tc>
        <w:tc>
          <w:tcPr>
            <w:tcW w:w="1088" w:type="dxa"/>
          </w:tcPr>
          <w:p w:rsidR="009C75A6" w:rsidRDefault="009C75A6" w:rsidP="00443D78">
            <w:pPr>
              <w:jc w:val="center"/>
            </w:pPr>
            <w:r>
              <w:t>2019</w:t>
            </w:r>
          </w:p>
        </w:tc>
        <w:tc>
          <w:tcPr>
            <w:tcW w:w="993" w:type="dxa"/>
          </w:tcPr>
          <w:p w:rsidR="009C75A6" w:rsidRDefault="009C75A6" w:rsidP="00443D78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9C75A6" w:rsidRDefault="009C75A6" w:rsidP="00443D78">
            <w:pPr>
              <w:jc w:val="center"/>
            </w:pPr>
            <w:r>
              <w:t>2020</w:t>
            </w:r>
          </w:p>
        </w:tc>
        <w:tc>
          <w:tcPr>
            <w:tcW w:w="992" w:type="dxa"/>
          </w:tcPr>
          <w:p w:rsidR="009C75A6" w:rsidRDefault="009C75A6" w:rsidP="00443D78">
            <w:pPr>
              <w:jc w:val="center"/>
            </w:pPr>
            <w:r>
              <w:t>2021</w:t>
            </w:r>
          </w:p>
        </w:tc>
      </w:tr>
      <w:tr w:rsidR="009C75A6" w:rsidTr="009C75A6">
        <w:tc>
          <w:tcPr>
            <w:tcW w:w="1030" w:type="dxa"/>
          </w:tcPr>
          <w:p w:rsidR="009C75A6" w:rsidRDefault="009C75A6" w:rsidP="002C5735">
            <w:pPr>
              <w:jc w:val="center"/>
            </w:pPr>
            <w:r>
              <w:t>100</w:t>
            </w:r>
          </w:p>
        </w:tc>
        <w:tc>
          <w:tcPr>
            <w:tcW w:w="1031" w:type="dxa"/>
          </w:tcPr>
          <w:p w:rsidR="009C75A6" w:rsidRDefault="009C75A6" w:rsidP="00443D78">
            <w:pPr>
              <w:jc w:val="center"/>
            </w:pPr>
            <w:r>
              <w:t>92</w:t>
            </w:r>
          </w:p>
        </w:tc>
        <w:tc>
          <w:tcPr>
            <w:tcW w:w="1031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031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088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</w:tr>
    </w:tbl>
    <w:p w:rsidR="00F74400" w:rsidRPr="000F2E41" w:rsidRDefault="00F74400" w:rsidP="00896846">
      <w:pPr>
        <w:jc w:val="both"/>
        <w:rPr>
          <w:b/>
        </w:rPr>
      </w:pPr>
    </w:p>
    <w:p w:rsidR="00896846" w:rsidRPr="000F2E41" w:rsidRDefault="00763A55" w:rsidP="00E36534">
      <w:pPr>
        <w:ind w:firstLine="708"/>
        <w:jc w:val="both"/>
      </w:pPr>
      <w:r w:rsidRPr="000F2E41">
        <w:t xml:space="preserve"> Ж</w:t>
      </w:r>
      <w:r w:rsidR="00E36534" w:rsidRPr="000F2E41">
        <w:t>ители</w:t>
      </w:r>
      <w:r w:rsidR="005D18AC">
        <w:t xml:space="preserve"> всех 26</w:t>
      </w:r>
      <w:r w:rsidR="00E36534" w:rsidRPr="000F2E41">
        <w:t xml:space="preserve"> многоквартирных домов </w:t>
      </w:r>
      <w:proofErr w:type="gramStart"/>
      <w:r w:rsidR="00E36534" w:rsidRPr="000F2E41">
        <w:t>выбрали и реализуют</w:t>
      </w:r>
      <w:proofErr w:type="gramEnd"/>
      <w:r w:rsidR="00E36534" w:rsidRPr="000F2E41">
        <w:t xml:space="preserve"> способ управления многоквартирным домом.</w:t>
      </w:r>
      <w:r w:rsidR="006A6B85" w:rsidRPr="000F2E41">
        <w:t xml:space="preserve"> </w:t>
      </w:r>
      <w:r w:rsidRPr="000F2E41">
        <w:t xml:space="preserve">Показатель составляет 100 </w:t>
      </w:r>
      <w:r w:rsidR="006A6B85" w:rsidRPr="000F2E41">
        <w:t>%.</w:t>
      </w:r>
    </w:p>
    <w:p w:rsidR="00896846" w:rsidRPr="000F2E41" w:rsidRDefault="00896846" w:rsidP="00896846">
      <w:pPr>
        <w:jc w:val="both"/>
      </w:pPr>
    </w:p>
    <w:p w:rsidR="00896846" w:rsidRDefault="00D601D2" w:rsidP="00896846">
      <w:pPr>
        <w:jc w:val="both"/>
        <w:rPr>
          <w:b/>
        </w:rPr>
      </w:pPr>
      <w:r w:rsidRPr="000F2E41">
        <w:t>Показатель</w:t>
      </w:r>
      <w:r>
        <w:t xml:space="preserve"> </w:t>
      </w:r>
      <w:r w:rsidRPr="00BB4BE3">
        <w:t>28</w:t>
      </w:r>
      <w:r w:rsidR="00896846" w:rsidRPr="00BB4BE3">
        <w:t>.</w:t>
      </w:r>
      <w:r w:rsidR="00896846">
        <w:t xml:space="preserve"> </w:t>
      </w:r>
      <w:r w:rsidR="00896846">
        <w:rPr>
          <w:b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9C75A6" w:rsidTr="00BC651A">
        <w:tc>
          <w:tcPr>
            <w:tcW w:w="5535" w:type="dxa"/>
            <w:gridSpan w:val="5"/>
          </w:tcPr>
          <w:p w:rsidR="009C75A6" w:rsidRDefault="009C75A6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9C75A6" w:rsidRDefault="009C75A6" w:rsidP="00443D78">
            <w:pPr>
              <w:jc w:val="center"/>
            </w:pPr>
            <w:r>
              <w:t>Плановые значения</w:t>
            </w:r>
          </w:p>
        </w:tc>
      </w:tr>
      <w:tr w:rsidR="009C75A6" w:rsidTr="00BC651A">
        <w:tc>
          <w:tcPr>
            <w:tcW w:w="1107" w:type="dxa"/>
          </w:tcPr>
          <w:p w:rsidR="009C75A6" w:rsidRDefault="009C75A6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9C75A6" w:rsidRDefault="009C75A6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9C75A6" w:rsidRDefault="009C75A6" w:rsidP="00443D78">
            <w:pPr>
              <w:jc w:val="center"/>
            </w:pPr>
            <w:r>
              <w:t>2022</w:t>
            </w:r>
          </w:p>
        </w:tc>
      </w:tr>
      <w:tr w:rsidR="009C75A6" w:rsidTr="00BC651A">
        <w:tc>
          <w:tcPr>
            <w:tcW w:w="1107" w:type="dxa"/>
          </w:tcPr>
          <w:p w:rsidR="009C75A6" w:rsidRDefault="009C75A6" w:rsidP="002C5735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9C75A6" w:rsidRDefault="009C75A6" w:rsidP="00443D78">
            <w:pPr>
              <w:jc w:val="center"/>
            </w:pPr>
            <w:r>
              <w:t>100</w:t>
            </w:r>
          </w:p>
        </w:tc>
      </w:tr>
    </w:tbl>
    <w:p w:rsidR="00F74400" w:rsidRDefault="00F74400" w:rsidP="00896846">
      <w:pPr>
        <w:jc w:val="both"/>
        <w:rPr>
          <w:b/>
        </w:rPr>
      </w:pPr>
    </w:p>
    <w:p w:rsidR="00896846" w:rsidRDefault="00F67DC0" w:rsidP="00896846">
      <w:pPr>
        <w:ind w:firstLine="708"/>
        <w:jc w:val="both"/>
      </w:pPr>
      <w:r>
        <w:t>Все  организации</w:t>
      </w:r>
      <w:r w:rsidR="00896846">
        <w:t xml:space="preserve"> коммуна</w:t>
      </w:r>
      <w:r>
        <w:t>льного комплекса, осуществляющие</w:t>
      </w:r>
      <w:r w:rsidR="00896846">
        <w:t xml:space="preserve"> оказание услуг по водо-, теплоснабжению, водоо</w:t>
      </w:r>
      <w:r w:rsidR="009C75A6">
        <w:t>тведению, очистке сточных вод</w:t>
      </w:r>
      <w:r w:rsidR="00896846">
        <w:t xml:space="preserve"> и использующих объекты коммунальной инфраструктуры по договор</w:t>
      </w:r>
      <w:r>
        <w:t>у аренды относятся к организациям с частной формой собственности</w:t>
      </w:r>
      <w:r w:rsidR="00896846">
        <w:t>. Показатель</w:t>
      </w:r>
      <w:r w:rsidR="009C75A6">
        <w:t xml:space="preserve"> в 2019</w:t>
      </w:r>
      <w:r w:rsidR="00BB4BE3">
        <w:t xml:space="preserve"> году и</w:t>
      </w:r>
      <w:r w:rsidR="00896846">
        <w:t xml:space="preserve">  на весь прогнозируемый период будет равен 100%.</w:t>
      </w:r>
    </w:p>
    <w:p w:rsidR="00896846" w:rsidRDefault="00896846" w:rsidP="00896846">
      <w:pPr>
        <w:jc w:val="both"/>
      </w:pPr>
    </w:p>
    <w:p w:rsidR="00896846" w:rsidRDefault="002B3FE6" w:rsidP="00896846">
      <w:pPr>
        <w:jc w:val="both"/>
        <w:rPr>
          <w:b/>
        </w:rPr>
      </w:pPr>
      <w:r w:rsidRPr="005D18AC">
        <w:t>Показатель 2</w:t>
      </w:r>
      <w:r w:rsidR="00896846" w:rsidRPr="005D18AC">
        <w:t>9.</w:t>
      </w:r>
      <w:r w:rsidR="00896846" w:rsidRPr="000F2E41">
        <w:t xml:space="preserve"> </w:t>
      </w:r>
      <w:r w:rsidR="00896846" w:rsidRPr="000F2E41">
        <w:rPr>
          <w:b/>
        </w:rPr>
        <w:t>Доля многоквартирных домов, расположенных на земельных участках, в отношении которых осуществлен государственный кадастровый учет:</w:t>
      </w:r>
    </w:p>
    <w:p w:rsidR="00507E13" w:rsidRDefault="00507E1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A4A10" w:rsidTr="00344CA3">
        <w:tc>
          <w:tcPr>
            <w:tcW w:w="5535" w:type="dxa"/>
            <w:gridSpan w:val="5"/>
          </w:tcPr>
          <w:p w:rsidR="00BA4A10" w:rsidRDefault="00BA4A10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A4A10" w:rsidRDefault="00BA4A10" w:rsidP="00443D78">
            <w:pPr>
              <w:jc w:val="center"/>
            </w:pPr>
            <w:r>
              <w:t>Плановые значения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A4A10" w:rsidRDefault="00BA4A10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A4A10" w:rsidRDefault="00BA4A10" w:rsidP="00443D78">
            <w:pPr>
              <w:jc w:val="center"/>
            </w:pPr>
            <w:r>
              <w:t>2022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2C5735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BA4A10" w:rsidRDefault="005D18AC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BA4A10" w:rsidRDefault="00BA4A10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:rsidR="00BA4A10" w:rsidRDefault="00BA4A10" w:rsidP="00443D78">
            <w:pPr>
              <w:jc w:val="center"/>
            </w:pPr>
            <w:r>
              <w:t>100</w:t>
            </w:r>
          </w:p>
        </w:tc>
      </w:tr>
    </w:tbl>
    <w:p w:rsidR="00F74400" w:rsidRPr="000F2E41" w:rsidRDefault="00F74400" w:rsidP="00896846">
      <w:pPr>
        <w:jc w:val="both"/>
        <w:rPr>
          <w:b/>
        </w:rPr>
      </w:pPr>
    </w:p>
    <w:p w:rsidR="00414C2B" w:rsidRPr="000F2E41" w:rsidRDefault="002B3FE6" w:rsidP="00896846">
      <w:pPr>
        <w:jc w:val="both"/>
      </w:pPr>
      <w:r w:rsidRPr="000F2E41">
        <w:tab/>
        <w:t>Государственный кадастровый учет проведен в отношении</w:t>
      </w:r>
      <w:r w:rsidR="00BB4BE3" w:rsidRPr="000F2E41">
        <w:t xml:space="preserve"> 100</w:t>
      </w:r>
      <w:r w:rsidRPr="000F2E41">
        <w:t>% земельных участков  под многоквартирными домами</w:t>
      </w:r>
      <w:r w:rsidR="005D18AC">
        <w:t xml:space="preserve"> (под 26</w:t>
      </w:r>
      <w:r w:rsidR="00BB4BE3" w:rsidRPr="000F2E41">
        <w:t xml:space="preserve"> домами)</w:t>
      </w:r>
      <w:r w:rsidRPr="000F2E41">
        <w:t xml:space="preserve">. </w:t>
      </w:r>
    </w:p>
    <w:p w:rsidR="00BB4BE3" w:rsidRPr="000F2E41" w:rsidRDefault="00BB4BE3" w:rsidP="00896846">
      <w:pPr>
        <w:jc w:val="both"/>
      </w:pPr>
    </w:p>
    <w:p w:rsidR="00896846" w:rsidRDefault="00414C2B" w:rsidP="00896846">
      <w:pPr>
        <w:jc w:val="both"/>
        <w:rPr>
          <w:b/>
        </w:rPr>
      </w:pPr>
      <w:r w:rsidRPr="00A66D12">
        <w:t>Показатель 30</w:t>
      </w:r>
      <w:r w:rsidR="00896846" w:rsidRPr="00A66D12">
        <w:t>.</w:t>
      </w:r>
      <w:r w:rsidR="00896846">
        <w:t xml:space="preserve"> </w:t>
      </w:r>
      <w:r w:rsidR="0046015F">
        <w:rPr>
          <w:b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="00896846">
        <w:rPr>
          <w:b/>
        </w:rPr>
        <w:t>:</w:t>
      </w:r>
    </w:p>
    <w:p w:rsidR="00507E13" w:rsidRDefault="00507E1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A4A10" w:rsidTr="00344CA3">
        <w:tc>
          <w:tcPr>
            <w:tcW w:w="5535" w:type="dxa"/>
            <w:gridSpan w:val="5"/>
          </w:tcPr>
          <w:p w:rsidR="00BA4A10" w:rsidRDefault="00BA4A10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A4A10" w:rsidRDefault="00BA4A10" w:rsidP="00443D78">
            <w:pPr>
              <w:jc w:val="center"/>
            </w:pPr>
            <w:r>
              <w:t>Плановые значения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A4A10" w:rsidRDefault="00BA4A10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A4A10" w:rsidRDefault="00BA4A10" w:rsidP="00443D78">
            <w:pPr>
              <w:jc w:val="center"/>
            </w:pPr>
            <w:r>
              <w:t>2022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2C5735">
            <w:pPr>
              <w:jc w:val="center"/>
            </w:pPr>
            <w:r>
              <w:t>5,41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7,10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7,41</w:t>
            </w:r>
          </w:p>
        </w:tc>
        <w:tc>
          <w:tcPr>
            <w:tcW w:w="1107" w:type="dxa"/>
          </w:tcPr>
          <w:p w:rsidR="00BA4A10" w:rsidRDefault="00BA4A10" w:rsidP="00443D78">
            <w:pPr>
              <w:jc w:val="center"/>
            </w:pPr>
            <w:r>
              <w:t>7,43</w:t>
            </w:r>
          </w:p>
        </w:tc>
        <w:tc>
          <w:tcPr>
            <w:tcW w:w="1107" w:type="dxa"/>
          </w:tcPr>
          <w:p w:rsidR="00BA4A10" w:rsidRDefault="00A66D12" w:rsidP="00443D78">
            <w:pPr>
              <w:jc w:val="center"/>
            </w:pPr>
            <w:r>
              <w:t>16,92</w:t>
            </w:r>
          </w:p>
        </w:tc>
        <w:tc>
          <w:tcPr>
            <w:tcW w:w="1107" w:type="dxa"/>
          </w:tcPr>
          <w:p w:rsidR="00BA4A10" w:rsidRDefault="00A66D12" w:rsidP="00443D78">
            <w:pPr>
              <w:jc w:val="center"/>
            </w:pPr>
            <w:r>
              <w:t>17,19</w:t>
            </w:r>
          </w:p>
        </w:tc>
        <w:tc>
          <w:tcPr>
            <w:tcW w:w="1108" w:type="dxa"/>
          </w:tcPr>
          <w:p w:rsidR="00BA4A10" w:rsidRDefault="00A66D12" w:rsidP="00443D78">
            <w:pPr>
              <w:jc w:val="center"/>
            </w:pPr>
            <w:r>
              <w:t>17,46</w:t>
            </w:r>
          </w:p>
        </w:tc>
        <w:tc>
          <w:tcPr>
            <w:tcW w:w="1108" w:type="dxa"/>
          </w:tcPr>
          <w:p w:rsidR="00BA4A10" w:rsidRDefault="00A66D12" w:rsidP="00443D78">
            <w:pPr>
              <w:jc w:val="center"/>
            </w:pPr>
            <w:r>
              <w:t>17,99</w:t>
            </w:r>
          </w:p>
        </w:tc>
      </w:tr>
    </w:tbl>
    <w:p w:rsidR="00F74400" w:rsidRDefault="00F74400" w:rsidP="00896846">
      <w:pPr>
        <w:jc w:val="both"/>
        <w:rPr>
          <w:b/>
        </w:rPr>
      </w:pPr>
    </w:p>
    <w:p w:rsidR="00896846" w:rsidRDefault="00A66D12" w:rsidP="00BB55B5">
      <w:pPr>
        <w:ind w:firstLine="708"/>
        <w:jc w:val="both"/>
      </w:pPr>
      <w:proofErr w:type="gramStart"/>
      <w:r>
        <w:t>В 2019</w:t>
      </w:r>
      <w:r w:rsidR="0046015F">
        <w:t xml:space="preserve"> году доля населения</w:t>
      </w:r>
      <w:r w:rsidR="00BB55B5">
        <w:t>,</w:t>
      </w:r>
      <w:r w:rsidR="0046015F" w:rsidRPr="0046015F">
        <w:rPr>
          <w:b/>
        </w:rPr>
        <w:t xml:space="preserve"> </w:t>
      </w:r>
      <w:r w:rsidR="0046015F" w:rsidRPr="0046015F">
        <w:t>получившего жилые помещения и улучшившего ж</w:t>
      </w:r>
      <w:r w:rsidR="00BB55B5">
        <w:t>илищные условия,</w:t>
      </w:r>
      <w:r w:rsidR="0046015F" w:rsidRPr="0046015F">
        <w:t xml:space="preserve"> в общей численности населения, состоящего на учете в качестве нуждающегося в жилых помещениях</w:t>
      </w:r>
      <w:r>
        <w:t>, составила 16,92</w:t>
      </w:r>
      <w:r w:rsidR="006D4525">
        <w:t>%.</w:t>
      </w:r>
      <w:r w:rsidR="002B4EE7">
        <w:t xml:space="preserve"> В течение г</w:t>
      </w:r>
      <w:r>
        <w:t>ода жилищные условия улучшили 22</w:t>
      </w:r>
      <w:r w:rsidR="002B4EE7">
        <w:t xml:space="preserve"> граждан</w:t>
      </w:r>
      <w:r>
        <w:t>ина против 11 за 2018 год.</w:t>
      </w:r>
      <w:proofErr w:type="gramEnd"/>
      <w:r>
        <w:t xml:space="preserve"> В последующие три года рост показателя происходит</w:t>
      </w:r>
      <w:r w:rsidR="002B4EE7">
        <w:t xml:space="preserve"> за счет снижения численности населения, состоящего на учете в качестве нуждающегося в жилых помещениях. </w:t>
      </w:r>
      <w:r w:rsidR="006D4525">
        <w:t xml:space="preserve"> </w:t>
      </w:r>
    </w:p>
    <w:p w:rsidR="00FB2238" w:rsidRDefault="00FB2238" w:rsidP="00896846">
      <w:pPr>
        <w:jc w:val="both"/>
      </w:pPr>
    </w:p>
    <w:p w:rsidR="00896846" w:rsidRDefault="00896846" w:rsidP="00896846">
      <w:pPr>
        <w:rPr>
          <w:b/>
        </w:rPr>
      </w:pPr>
    </w:p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ОРГАНИЗАЦИЯ МУНИЦИПАЛЬНОГО УПРАВЛЕНИЯ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ind w:firstLine="708"/>
        <w:jc w:val="both"/>
      </w:pPr>
      <w:r>
        <w:t xml:space="preserve">Главная задача Администрации муниципального образования «Красногорский район» </w:t>
      </w:r>
      <w:r w:rsidR="00153602">
        <w:t>в области организации муниципального управления -</w:t>
      </w:r>
      <w:r w:rsidR="00606220">
        <w:t xml:space="preserve"> </w:t>
      </w:r>
      <w:r>
        <w:t>создать условия для стабильного развития района, обеспечить нормальные условия жизни проживающего на территории района населения.</w:t>
      </w:r>
    </w:p>
    <w:p w:rsidR="00896846" w:rsidRDefault="00896846" w:rsidP="00896846">
      <w:pPr>
        <w:jc w:val="both"/>
      </w:pPr>
      <w:r>
        <w:lastRenderedPageBreak/>
        <w:tab/>
        <w:t xml:space="preserve">Основу экономики района составляет сельское хозяйство и деятельность </w:t>
      </w:r>
      <w:r w:rsidR="00FB2238">
        <w:t>Администрации района</w:t>
      </w:r>
      <w:r>
        <w:t xml:space="preserve"> была направлена на стабилизацию положения в данной отрасли- помощь в организации проведения основных сельскохозяйственных работ; организации работы по повышению качества молока</w:t>
      </w:r>
      <w:r w:rsidR="002435FD">
        <w:t>;</w:t>
      </w:r>
      <w:r>
        <w:t xml:space="preserve"> в приобретении техники, семян; по улучшению племенной работы и воспроизводству стада; повышению квалификации кадров работников сельского хозяйства, по возобновлению экономической работы за счет доведения  заданий до всех подразделений сельско</w:t>
      </w:r>
      <w:r w:rsidR="00FB2238">
        <w:t>хозяйственных предприятий</w:t>
      </w:r>
      <w:r>
        <w:t>.</w:t>
      </w:r>
    </w:p>
    <w:p w:rsidR="00896846" w:rsidRDefault="00896846" w:rsidP="00896846">
      <w:pPr>
        <w:jc w:val="both"/>
      </w:pPr>
      <w:r>
        <w:tab/>
        <w:t xml:space="preserve">Проводится работа с субъектами малого предпринимательства по оказанию им мер информационной  и консультационной поддержки, помощи в решении организационных вопросов, помощи в написании бизнес-планов. </w:t>
      </w:r>
      <w:r w:rsidR="004C5623">
        <w:t>Проводится работа по развитию конкуренции и стимулированию инвестиционной деятельности.</w:t>
      </w:r>
    </w:p>
    <w:p w:rsidR="00896846" w:rsidRDefault="00896846" w:rsidP="00896846">
      <w:pPr>
        <w:ind w:firstLine="708"/>
        <w:jc w:val="both"/>
      </w:pPr>
      <w:r>
        <w:t>В области строительства осваивались государственные ин</w:t>
      </w:r>
      <w:r w:rsidR="009615FE">
        <w:t>вестиции в основной капитал по достройке</w:t>
      </w:r>
      <w:r w:rsidR="002435FD">
        <w:t xml:space="preserve"> детского сада в д. </w:t>
      </w:r>
      <w:proofErr w:type="spellStart"/>
      <w:r w:rsidR="002435FD">
        <w:t>Багыр</w:t>
      </w:r>
      <w:proofErr w:type="spellEnd"/>
      <w:r w:rsidR="002435FD">
        <w:t>,</w:t>
      </w:r>
      <w:r w:rsidR="009615FE">
        <w:t xml:space="preserve"> капитальному ремонту зданий социальной сферы,</w:t>
      </w:r>
      <w:r>
        <w:t xml:space="preserve"> </w:t>
      </w:r>
      <w:r w:rsidR="00B915D6">
        <w:t>подготовке социальных объектов к работе в зимний период</w:t>
      </w:r>
      <w:r>
        <w:t>.</w:t>
      </w:r>
    </w:p>
    <w:p w:rsidR="00FB2238" w:rsidRDefault="00896846" w:rsidP="00896846">
      <w:pPr>
        <w:ind w:firstLine="708"/>
        <w:jc w:val="both"/>
      </w:pPr>
      <w:r>
        <w:t>В области доходо</w:t>
      </w:r>
      <w:r w:rsidR="00FB2238">
        <w:t>в и заработной платы проводится</w:t>
      </w:r>
      <w:r>
        <w:t xml:space="preserve"> разъяснительная работа с предприятиями и организациями района по соблюдению ими минимального размера оп</w:t>
      </w:r>
      <w:r w:rsidR="00FB2238">
        <w:t>латы труда</w:t>
      </w:r>
      <w:r>
        <w:t xml:space="preserve">. Для обеспечения повышения уровня заработной платы заслушивались организации и предприниматели, выплачивающие заработную плату ниже прожиточного минимума. </w:t>
      </w:r>
      <w:r w:rsidR="000E02B6">
        <w:t>Осуществляется защита прав потребителей района.</w:t>
      </w:r>
    </w:p>
    <w:p w:rsidR="00896846" w:rsidRDefault="00FB2238" w:rsidP="00896846">
      <w:pPr>
        <w:ind w:firstLine="708"/>
        <w:jc w:val="both"/>
      </w:pPr>
      <w:r>
        <w:t>Осуществляются</w:t>
      </w:r>
      <w:r w:rsidR="00896846">
        <w:t xml:space="preserve"> функции по управлению муниципальным имуществом и земельными участками.</w:t>
      </w:r>
    </w:p>
    <w:p w:rsidR="00896846" w:rsidRDefault="00FB2238" w:rsidP="00896846">
      <w:pPr>
        <w:ind w:firstLine="708"/>
        <w:jc w:val="both"/>
      </w:pPr>
      <w:r>
        <w:t>С целью обеспечения</w:t>
      </w:r>
      <w:r w:rsidR="00896846">
        <w:t xml:space="preserve"> поступления собственных до</w:t>
      </w:r>
      <w:r>
        <w:t>ходов в бюджет района п</w:t>
      </w:r>
      <w:r w:rsidR="004C5623">
        <w:t>р</w:t>
      </w:r>
      <w:r>
        <w:t>оводится</w:t>
      </w:r>
      <w:r w:rsidR="00896846">
        <w:t xml:space="preserve"> работа с недоимщиками по налогам, посту</w:t>
      </w:r>
      <w:r w:rsidR="00153602">
        <w:t>пающим в бюджет района.</w:t>
      </w:r>
    </w:p>
    <w:p w:rsidR="00896846" w:rsidRDefault="00896846" w:rsidP="00FB2238">
      <w:pPr>
        <w:ind w:firstLine="708"/>
        <w:jc w:val="both"/>
      </w:pPr>
      <w:r>
        <w:t>Специалисты органов местного с</w:t>
      </w:r>
      <w:r w:rsidR="009615FE">
        <w:t xml:space="preserve">амоуправления района обеспечивали выполнение </w:t>
      </w:r>
      <w:r>
        <w:t xml:space="preserve"> своих функциональных задач по</w:t>
      </w:r>
      <w:r w:rsidR="00FB2238">
        <w:t xml:space="preserve"> оказанию муниципальных услуг и переданных государственных полномочий.</w:t>
      </w:r>
      <w:r>
        <w:t xml:space="preserve"> </w:t>
      </w:r>
    </w:p>
    <w:p w:rsidR="00FB2238" w:rsidRDefault="00896846" w:rsidP="00896846">
      <w:pPr>
        <w:ind w:firstLine="708"/>
        <w:jc w:val="both"/>
      </w:pPr>
      <w:r>
        <w:t>Расходы бюджетных организаций осуществлялись в соответствии с реестром расходных полномочий по решению вопросов местного значения.</w:t>
      </w:r>
      <w:r w:rsidR="00F06480">
        <w:t xml:space="preserve"> Основными направл</w:t>
      </w:r>
      <w:r w:rsidR="009615FE">
        <w:t>ениями бюджетной политики в 2019</w:t>
      </w:r>
      <w:r w:rsidR="00F06480">
        <w:t xml:space="preserve"> году были преимущественное формирование расходов на основании муниципальных программ и доведенных муниципальных заданий, повышение эффективности бюджетных расходов, совершенствование </w:t>
      </w:r>
      <w:r w:rsidR="00F74400">
        <w:t>финансового контроля.</w:t>
      </w:r>
      <w:r>
        <w:t xml:space="preserve"> Крупные закупки осущест</w:t>
      </w:r>
      <w:r w:rsidR="00F06480">
        <w:t>влялись с проведением конкурентных</w:t>
      </w:r>
      <w:r>
        <w:t xml:space="preserve"> процедур. </w:t>
      </w:r>
    </w:p>
    <w:p w:rsidR="00896846" w:rsidRDefault="00896846" w:rsidP="00896846">
      <w:pPr>
        <w:ind w:firstLine="708"/>
        <w:jc w:val="both"/>
      </w:pPr>
      <w:r>
        <w:t>Проводилась работа по реализации административной реформы,</w:t>
      </w:r>
      <w:r w:rsidR="00F06480">
        <w:t xml:space="preserve"> в том числе исполнялись административные регламенты по предоставлению муниципальных услуг</w:t>
      </w:r>
      <w:r w:rsidR="00F74400">
        <w:t>,</w:t>
      </w:r>
      <w:r w:rsidR="00F06480">
        <w:t xml:space="preserve"> по переходу на оказание услуг в электронном виде</w:t>
      </w:r>
      <w:r w:rsidR="000E02B6">
        <w:t xml:space="preserve">, </w:t>
      </w:r>
      <w:r>
        <w:t xml:space="preserve"> по противодействию коррупции.</w:t>
      </w:r>
      <w:r w:rsidR="000E02B6">
        <w:t xml:space="preserve"> Для повышения открытости деятельности органов местного самоуправления совершенствуется работа официального сайта района, проводятся регулярные встречи с населением рай</w:t>
      </w:r>
      <w:r w:rsidR="00F74400">
        <w:t>она,</w:t>
      </w:r>
      <w:r w:rsidR="008623A0">
        <w:t xml:space="preserve"> открыта страничка в социальных сетях</w:t>
      </w:r>
      <w:r w:rsidR="000E02B6">
        <w:t>.</w:t>
      </w:r>
    </w:p>
    <w:p w:rsidR="00F74400" w:rsidRDefault="00F74400" w:rsidP="00896846">
      <w:pPr>
        <w:ind w:firstLine="708"/>
        <w:jc w:val="both"/>
      </w:pPr>
      <w:r>
        <w:t>Дальнейшая работа  органов местного самоуправления будет направлена на повышение эффективности деятельности за счет реализации муниципальных программ, оптимизации бюджетных ра</w:t>
      </w:r>
      <w:r w:rsidR="009615FE">
        <w:t>сходов,</w:t>
      </w:r>
      <w:r>
        <w:t xml:space="preserve"> на содействие </w:t>
      </w:r>
      <w:r w:rsidR="009615FE">
        <w:t>создания новых рабочих мест</w:t>
      </w:r>
      <w:r w:rsidR="009C75A6">
        <w:t xml:space="preserve"> и привлечение инвестиций</w:t>
      </w:r>
      <w:r>
        <w:t>.</w:t>
      </w:r>
    </w:p>
    <w:p w:rsidR="00896846" w:rsidRDefault="00896846" w:rsidP="00896846">
      <w:pPr>
        <w:tabs>
          <w:tab w:val="left" w:pos="285"/>
          <w:tab w:val="left" w:pos="840"/>
        </w:tabs>
        <w:rPr>
          <w:b/>
        </w:rPr>
      </w:pPr>
      <w:r>
        <w:rPr>
          <w:b/>
        </w:rPr>
        <w:tab/>
      </w:r>
    </w:p>
    <w:p w:rsidR="00B915D6" w:rsidRDefault="00B915D6" w:rsidP="00B915D6">
      <w:pPr>
        <w:jc w:val="both"/>
        <w:rPr>
          <w:b/>
        </w:rPr>
      </w:pPr>
      <w:r w:rsidRPr="000F2E41">
        <w:t>По</w:t>
      </w:r>
      <w:r>
        <w:t>казатель № 31.</w:t>
      </w:r>
      <w:r>
        <w:rPr>
          <w:b/>
        </w:rPr>
        <w:t xml:space="preserve">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субвенций):</w:t>
      </w:r>
    </w:p>
    <w:p w:rsidR="002435FD" w:rsidRDefault="002435FD" w:rsidP="00B915D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84483" w:rsidTr="00BC651A">
        <w:tc>
          <w:tcPr>
            <w:tcW w:w="5535" w:type="dxa"/>
            <w:gridSpan w:val="5"/>
          </w:tcPr>
          <w:p w:rsidR="00B84483" w:rsidRDefault="00B84483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84483" w:rsidRDefault="00B84483" w:rsidP="00443D78">
            <w:pPr>
              <w:jc w:val="center"/>
            </w:pPr>
            <w:r>
              <w:t>Плановые значения</w:t>
            </w:r>
          </w:p>
        </w:tc>
      </w:tr>
      <w:tr w:rsidR="00B84483" w:rsidTr="00BC651A">
        <w:tc>
          <w:tcPr>
            <w:tcW w:w="1107" w:type="dxa"/>
          </w:tcPr>
          <w:p w:rsidR="00B84483" w:rsidRDefault="00B84483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84483" w:rsidRDefault="00B84483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84483" w:rsidRDefault="00B84483" w:rsidP="00443D78">
            <w:pPr>
              <w:jc w:val="center"/>
            </w:pPr>
            <w:r>
              <w:t>2022</w:t>
            </w:r>
          </w:p>
        </w:tc>
      </w:tr>
      <w:tr w:rsidR="00B84483" w:rsidTr="00BC651A">
        <w:tc>
          <w:tcPr>
            <w:tcW w:w="1107" w:type="dxa"/>
          </w:tcPr>
          <w:p w:rsidR="00B84483" w:rsidRDefault="00B84483" w:rsidP="00443D78">
            <w:pPr>
              <w:jc w:val="both"/>
            </w:pPr>
            <w:r>
              <w:t>37,07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31,28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26,44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31,56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28,03</w:t>
            </w:r>
          </w:p>
        </w:tc>
        <w:tc>
          <w:tcPr>
            <w:tcW w:w="1107" w:type="dxa"/>
          </w:tcPr>
          <w:p w:rsidR="00B84483" w:rsidRDefault="00B84483" w:rsidP="00443D78">
            <w:pPr>
              <w:jc w:val="center"/>
            </w:pPr>
            <w:r>
              <w:t>14,99</w:t>
            </w:r>
          </w:p>
        </w:tc>
        <w:tc>
          <w:tcPr>
            <w:tcW w:w="1108" w:type="dxa"/>
          </w:tcPr>
          <w:p w:rsidR="00B84483" w:rsidRDefault="00B84483" w:rsidP="00443D78">
            <w:pPr>
              <w:jc w:val="center"/>
            </w:pPr>
            <w:r>
              <w:t>39,19</w:t>
            </w:r>
          </w:p>
        </w:tc>
        <w:tc>
          <w:tcPr>
            <w:tcW w:w="1108" w:type="dxa"/>
          </w:tcPr>
          <w:p w:rsidR="00B84483" w:rsidRDefault="00B84483" w:rsidP="00443D78">
            <w:pPr>
              <w:jc w:val="center"/>
            </w:pPr>
            <w:r>
              <w:t>42,81</w:t>
            </w:r>
          </w:p>
        </w:tc>
      </w:tr>
    </w:tbl>
    <w:p w:rsidR="005822F7" w:rsidRDefault="005822F7" w:rsidP="00B915D6">
      <w:pPr>
        <w:jc w:val="both"/>
        <w:rPr>
          <w:b/>
        </w:rPr>
      </w:pPr>
    </w:p>
    <w:p w:rsidR="00A51822" w:rsidRDefault="00B84483" w:rsidP="00A51822">
      <w:pPr>
        <w:ind w:firstLine="708"/>
        <w:jc w:val="both"/>
      </w:pPr>
      <w:r>
        <w:t>В 2019</w:t>
      </w:r>
      <w:r w:rsidR="00A51822">
        <w:t xml:space="preserve"> году доля налоговых и неналоговых доходов местного бюджета в общем объеме собственных доходов бюджета муниципаль</w:t>
      </w:r>
      <w:r w:rsidR="006D4525">
        <w:t>ного образования с</w:t>
      </w:r>
      <w:r>
        <w:t xml:space="preserve">оставила 28,03 % с падением к уровню </w:t>
      </w:r>
      <w:r w:rsidR="002B4EE7">
        <w:t xml:space="preserve"> 2</w:t>
      </w:r>
      <w:r>
        <w:t>018 года на 3,53</w:t>
      </w:r>
      <w:r w:rsidR="00A51822">
        <w:t xml:space="preserve"> процентных пункта.</w:t>
      </w:r>
    </w:p>
    <w:p w:rsidR="002B4EE7" w:rsidRDefault="00431307" w:rsidP="00A51822">
      <w:pPr>
        <w:ind w:firstLine="708"/>
        <w:jc w:val="both"/>
      </w:pPr>
      <w:r>
        <w:lastRenderedPageBreak/>
        <w:t>Снижение</w:t>
      </w:r>
      <w:r w:rsidR="00A51822">
        <w:t xml:space="preserve"> доли налоговых и неналоговых доходов в общем объеме собственных доходов бюджета района </w:t>
      </w:r>
      <w:r>
        <w:t>в 2019 году</w:t>
      </w:r>
      <w:r w:rsidR="00A51822">
        <w:t xml:space="preserve"> п</w:t>
      </w:r>
      <w:r>
        <w:t>о сравнению с 2018</w:t>
      </w:r>
      <w:r w:rsidR="002B4EE7">
        <w:t xml:space="preserve"> годом произошел за счет увеличения поступления</w:t>
      </w:r>
      <w:r w:rsidR="00344D95">
        <w:t xml:space="preserve"> на 31,4% безвозмездных поступлений из бюджета Удмуртской Республики при росте </w:t>
      </w:r>
      <w:r w:rsidR="002B4EE7">
        <w:t xml:space="preserve"> налоговых и неналоговых доходов</w:t>
      </w:r>
      <w:r w:rsidR="00344D95">
        <w:t xml:space="preserve"> бюджета муниципального образования на 11 процентов. </w:t>
      </w:r>
      <w:r w:rsidR="002B4EE7">
        <w:t xml:space="preserve"> </w:t>
      </w:r>
      <w:r w:rsidR="009615FE">
        <w:t xml:space="preserve"> В 2020 году значительное снижение доли налоговых и неналоговых доходов произойдет в результате увеличения безвозмездных поступлений на проведение республиканских летних сельских спортивных игр. В 2021-2022 годах прогнозируется увеличение доли налоговых и неналоговых доходов в общем объеме собственных доходов бюджета района к 2019 году.</w:t>
      </w:r>
    </w:p>
    <w:p w:rsidR="00344D95" w:rsidRDefault="00344D95" w:rsidP="00A51822">
      <w:pPr>
        <w:ind w:firstLine="708"/>
        <w:jc w:val="both"/>
      </w:pPr>
    </w:p>
    <w:p w:rsidR="005719F5" w:rsidRDefault="005719F5" w:rsidP="005719F5">
      <w:pPr>
        <w:jc w:val="both"/>
        <w:rPr>
          <w:b/>
        </w:rPr>
      </w:pPr>
      <w:r w:rsidRPr="000F2E41">
        <w:t>Пок</w:t>
      </w:r>
      <w:r>
        <w:t>азатель № 32.</w:t>
      </w:r>
      <w:r>
        <w:rPr>
          <w:b/>
        </w:rPr>
        <w:t xml:space="preserve">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стоимости):</w:t>
      </w:r>
    </w:p>
    <w:p w:rsidR="002435FD" w:rsidRDefault="002435FD" w:rsidP="005719F5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0352AE" w:rsidTr="00BC651A">
        <w:tc>
          <w:tcPr>
            <w:tcW w:w="5535" w:type="dxa"/>
            <w:gridSpan w:val="5"/>
          </w:tcPr>
          <w:p w:rsidR="000352AE" w:rsidRDefault="000352AE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0352AE" w:rsidRDefault="000352AE" w:rsidP="00443D78">
            <w:pPr>
              <w:jc w:val="center"/>
            </w:pPr>
            <w:r>
              <w:t>Плановые значения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0352AE" w:rsidRDefault="00B84483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0352AE" w:rsidRDefault="00B84483" w:rsidP="00443D78">
            <w:pPr>
              <w:jc w:val="center"/>
            </w:pPr>
            <w:r>
              <w:t>2022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</w:tr>
    </w:tbl>
    <w:p w:rsidR="005822F7" w:rsidRDefault="005822F7" w:rsidP="005719F5">
      <w:pPr>
        <w:jc w:val="both"/>
        <w:rPr>
          <w:b/>
        </w:rPr>
      </w:pPr>
    </w:p>
    <w:p w:rsidR="005719F5" w:rsidRDefault="005719F5" w:rsidP="005719F5">
      <w:pPr>
        <w:jc w:val="both"/>
      </w:pPr>
      <w:r>
        <w:rPr>
          <w:b/>
        </w:rPr>
        <w:tab/>
      </w:r>
      <w:r w:rsidR="00B84483">
        <w:t>В 2019</w:t>
      </w:r>
      <w:r>
        <w:t xml:space="preserve"> году в стадии банкротства муниципальных предприятий не было. Доля основных фондов организаций муниципальной формы собственности, находящихся в стадии банкротства в общей стоимости основных фондов организаций муниципальной формы собственности составляет 0 процентов. Проведения банкротства муниципальных предприятий в прогнозируемый период не планируется.</w:t>
      </w:r>
    </w:p>
    <w:p w:rsidR="005719F5" w:rsidRDefault="005719F5" w:rsidP="00B915D6">
      <w:pPr>
        <w:jc w:val="both"/>
        <w:rPr>
          <w:b/>
        </w:rPr>
      </w:pPr>
    </w:p>
    <w:p w:rsidR="005719F5" w:rsidRDefault="00BF1B9C" w:rsidP="005719F5">
      <w:pPr>
        <w:jc w:val="both"/>
        <w:rPr>
          <w:b/>
        </w:rPr>
      </w:pPr>
      <w:r w:rsidRPr="000F2E41">
        <w:t>Показатель 33</w:t>
      </w:r>
      <w:r w:rsidR="005719F5" w:rsidRPr="000F2E41">
        <w:t xml:space="preserve">. </w:t>
      </w:r>
      <w:r w:rsidR="005719F5" w:rsidRPr="000F2E41">
        <w:rPr>
          <w:b/>
        </w:rPr>
        <w:t>Объем не завершенного в установленные сроки строительства, осуществляемого за счет средств</w:t>
      </w:r>
      <w:r w:rsidRPr="000F2E41">
        <w:rPr>
          <w:b/>
        </w:rPr>
        <w:t xml:space="preserve"> бюджета городского округа (муниципального района)</w:t>
      </w:r>
      <w:r w:rsidR="005719F5" w:rsidRPr="000F2E41">
        <w:rPr>
          <w:b/>
        </w:rPr>
        <w:t>:</w:t>
      </w:r>
    </w:p>
    <w:p w:rsidR="002435FD" w:rsidRDefault="002435FD" w:rsidP="005719F5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0352AE" w:rsidTr="00BC651A">
        <w:tc>
          <w:tcPr>
            <w:tcW w:w="5535" w:type="dxa"/>
            <w:gridSpan w:val="5"/>
          </w:tcPr>
          <w:p w:rsidR="000352AE" w:rsidRDefault="000352AE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0352AE" w:rsidRDefault="000352AE" w:rsidP="00443D78">
            <w:pPr>
              <w:jc w:val="center"/>
            </w:pPr>
            <w:r>
              <w:t>Плановые значения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2022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</w:tr>
    </w:tbl>
    <w:p w:rsidR="005822F7" w:rsidRPr="000F2E41" w:rsidRDefault="005822F7" w:rsidP="005719F5">
      <w:pPr>
        <w:jc w:val="both"/>
        <w:rPr>
          <w:b/>
        </w:rPr>
      </w:pPr>
    </w:p>
    <w:p w:rsidR="005719F5" w:rsidRPr="000F2E41" w:rsidRDefault="00BF1B9C" w:rsidP="00BF1B9C">
      <w:pPr>
        <w:ind w:firstLine="708"/>
        <w:jc w:val="both"/>
      </w:pPr>
      <w:r w:rsidRPr="000F2E41">
        <w:t>Объема не завершенного в установленные сроки строительства, осуществляемого за счет средств бюджета  муниципального рай</w:t>
      </w:r>
      <w:r w:rsidR="000352AE">
        <w:t>она не имеется. В период до 2022</w:t>
      </w:r>
      <w:r w:rsidRPr="000F2E41">
        <w:t xml:space="preserve"> года планируется полное освоение средств в установленные сроки.</w:t>
      </w:r>
    </w:p>
    <w:p w:rsidR="00BF1B9C" w:rsidRPr="000F2E41" w:rsidRDefault="00BF1B9C" w:rsidP="00BF1B9C">
      <w:pPr>
        <w:jc w:val="both"/>
      </w:pPr>
    </w:p>
    <w:p w:rsidR="00BF1B9C" w:rsidRDefault="00BF1B9C" w:rsidP="00BF1B9C">
      <w:pPr>
        <w:jc w:val="both"/>
        <w:rPr>
          <w:b/>
        </w:rPr>
      </w:pPr>
      <w:r w:rsidRPr="000F2E41">
        <w:t>Показатель № 34.</w:t>
      </w:r>
      <w:r w:rsidRPr="000F2E41">
        <w:rPr>
          <w:b/>
        </w:rPr>
        <w:t xml:space="preserve"> Доля просроченной кредиторской задолженности по оплате труда (в</w:t>
      </w:r>
      <w:r>
        <w:rPr>
          <w:b/>
        </w:rPr>
        <w:t>ключая начисления на оплату труда) муниципальных  учреждений в общем объеме расходов муниципального образования на оплату труда (включая начисления на оплату труда):</w:t>
      </w:r>
    </w:p>
    <w:p w:rsidR="002435FD" w:rsidRDefault="002435FD" w:rsidP="00BF1B9C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0352AE" w:rsidTr="00BC651A">
        <w:tc>
          <w:tcPr>
            <w:tcW w:w="5535" w:type="dxa"/>
            <w:gridSpan w:val="5"/>
          </w:tcPr>
          <w:p w:rsidR="000352AE" w:rsidRDefault="000352AE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0352AE" w:rsidRDefault="000352AE" w:rsidP="00443D78">
            <w:pPr>
              <w:jc w:val="center"/>
            </w:pPr>
            <w:r>
              <w:t>Плановые значения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2022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0</w:t>
            </w:r>
          </w:p>
        </w:tc>
      </w:tr>
    </w:tbl>
    <w:p w:rsidR="005822F7" w:rsidRDefault="005822F7" w:rsidP="00BF1B9C">
      <w:pPr>
        <w:jc w:val="both"/>
        <w:rPr>
          <w:b/>
        </w:rPr>
      </w:pPr>
    </w:p>
    <w:p w:rsidR="00BF1B9C" w:rsidRDefault="00BF1B9C" w:rsidP="00BF1B9C">
      <w:pPr>
        <w:jc w:val="both"/>
      </w:pPr>
      <w:r>
        <w:rPr>
          <w:b/>
        </w:rPr>
        <w:tab/>
      </w:r>
      <w:r w:rsidR="000352AE">
        <w:t>В 2019</w:t>
      </w:r>
      <w:r w:rsidR="00F23DF0">
        <w:t xml:space="preserve"> году п</w:t>
      </w:r>
      <w:r w:rsidR="000B5CEE">
        <w:t>росроченной к</w:t>
      </w:r>
      <w:r>
        <w:t>редиторской задолженности по оплате труда муниципальных  учреждений, включая начисления</w:t>
      </w:r>
      <w:r w:rsidR="00F66A41">
        <w:t xml:space="preserve"> на оплату труда</w:t>
      </w:r>
      <w:r>
        <w:t>, нет. В предстоящие три года планируется всю заработную плату выплачивать своевременно и не допускать кредиторской задолженности по оплате труда.</w:t>
      </w:r>
    </w:p>
    <w:p w:rsidR="00BF1B9C" w:rsidRDefault="00BF1B9C" w:rsidP="00BF1B9C">
      <w:pPr>
        <w:jc w:val="both"/>
      </w:pPr>
    </w:p>
    <w:p w:rsidR="00F716AA" w:rsidRDefault="00F716AA" w:rsidP="00F716AA">
      <w:pPr>
        <w:jc w:val="both"/>
        <w:rPr>
          <w:b/>
        </w:rPr>
      </w:pPr>
      <w:r w:rsidRPr="000F2E41">
        <w:t>По</w:t>
      </w:r>
      <w:r>
        <w:t>казатель № 35.</w:t>
      </w:r>
      <w:r>
        <w:rPr>
          <w:b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0352AE" w:rsidTr="00BC651A">
        <w:tc>
          <w:tcPr>
            <w:tcW w:w="5535" w:type="dxa"/>
            <w:gridSpan w:val="5"/>
          </w:tcPr>
          <w:p w:rsidR="000352AE" w:rsidRDefault="000352AE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0352AE" w:rsidRDefault="000352AE" w:rsidP="00443D78">
            <w:pPr>
              <w:jc w:val="center"/>
            </w:pPr>
            <w:r>
              <w:t>Плановые значения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2022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2C5735">
            <w:pPr>
              <w:jc w:val="center"/>
            </w:pPr>
            <w:r>
              <w:t>4726,51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4933,95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5150,94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5257,78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5462,93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5288,71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5135,52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5119,15</w:t>
            </w:r>
          </w:p>
        </w:tc>
      </w:tr>
    </w:tbl>
    <w:p w:rsidR="005822F7" w:rsidRDefault="005822F7" w:rsidP="00F716AA">
      <w:pPr>
        <w:jc w:val="both"/>
        <w:rPr>
          <w:b/>
        </w:rPr>
      </w:pPr>
    </w:p>
    <w:p w:rsidR="00F716AA" w:rsidRDefault="00F716AA" w:rsidP="00F716AA">
      <w:pPr>
        <w:jc w:val="both"/>
      </w:pPr>
      <w:r>
        <w:lastRenderedPageBreak/>
        <w:tab/>
        <w:t>Расходы бюджета на содержание работников органов местного самоуправления в расчете на 1 жителя муницип</w:t>
      </w:r>
      <w:r w:rsidR="000B5CEE">
        <w:t>альн</w:t>
      </w:r>
      <w:r w:rsidR="00094EA4">
        <w:t>ог</w:t>
      </w:r>
      <w:r w:rsidR="000352AE">
        <w:t>о образования составили в 2019</w:t>
      </w:r>
      <w:r>
        <w:t xml:space="preserve"> год</w:t>
      </w:r>
      <w:r w:rsidR="000352AE">
        <w:t>у 5462,93</w:t>
      </w:r>
      <w:r w:rsidR="000B5CEE">
        <w:t xml:space="preserve"> руб.</w:t>
      </w:r>
      <w:r w:rsidR="00F66A41">
        <w:t>,</w:t>
      </w:r>
      <w:r w:rsidR="00C30C0B">
        <w:t xml:space="preserve"> с </w:t>
      </w:r>
      <w:r w:rsidR="000442D0">
        <w:t>ростом к</w:t>
      </w:r>
      <w:r w:rsidR="000352AE">
        <w:t xml:space="preserve"> уровню 2018</w:t>
      </w:r>
      <w:r>
        <w:t xml:space="preserve"> год</w:t>
      </w:r>
      <w:r w:rsidR="000352AE">
        <w:t>а на 3,9</w:t>
      </w:r>
      <w:r w:rsidR="000B5CEE">
        <w:t>%</w:t>
      </w:r>
      <w:r w:rsidR="000442D0">
        <w:t xml:space="preserve"> за счет увеличения минимального размера заработной платы</w:t>
      </w:r>
      <w:r w:rsidR="00094EA4">
        <w:t xml:space="preserve"> </w:t>
      </w:r>
      <w:r w:rsidR="000352AE">
        <w:t>и проведения мероприятий по оптимизации численности органов управления (компенсации отпусков, выходные пособия)</w:t>
      </w:r>
      <w:r>
        <w:t xml:space="preserve">. </w:t>
      </w:r>
      <w:r w:rsidR="000B5CEE">
        <w:t>В плановом</w:t>
      </w:r>
      <w:r w:rsidR="00317911" w:rsidRPr="00317911">
        <w:t xml:space="preserve"> период</w:t>
      </w:r>
      <w:r w:rsidR="000352AE">
        <w:t>е 2020-2022</w:t>
      </w:r>
      <w:r w:rsidR="000B5CEE">
        <w:t xml:space="preserve"> годов</w:t>
      </w:r>
      <w:r w:rsidR="00317911" w:rsidRPr="00317911">
        <w:t xml:space="preserve"> расходы</w:t>
      </w:r>
      <w:r w:rsidR="000B5CEE">
        <w:t xml:space="preserve"> бюджета на содержание работников органов местного самоуправления</w:t>
      </w:r>
      <w:r w:rsidR="000442D0">
        <w:t xml:space="preserve"> </w:t>
      </w:r>
      <w:r w:rsidR="000352AE">
        <w:t>снизятся в связи с оптимизацией численности аппарата органов местного самоуправления района</w:t>
      </w:r>
      <w:r w:rsidR="00C30C0B">
        <w:t xml:space="preserve">. </w:t>
      </w:r>
    </w:p>
    <w:p w:rsidR="00BF1B9C" w:rsidRDefault="00BF1B9C" w:rsidP="00BF1B9C">
      <w:pPr>
        <w:jc w:val="both"/>
      </w:pPr>
    </w:p>
    <w:p w:rsidR="00317911" w:rsidRDefault="00317911" w:rsidP="00BF1B9C">
      <w:pPr>
        <w:jc w:val="both"/>
        <w:rPr>
          <w:b/>
        </w:rPr>
      </w:pPr>
      <w:r w:rsidRPr="000F2E41">
        <w:t>По</w:t>
      </w:r>
      <w:r>
        <w:t xml:space="preserve">казатель 36. </w:t>
      </w:r>
      <w:r w:rsidRPr="00317911">
        <w:rPr>
          <w:b/>
        </w:rPr>
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района):</w:t>
      </w:r>
    </w:p>
    <w:p w:rsidR="002435FD" w:rsidRDefault="002435FD" w:rsidP="00BF1B9C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0352AE" w:rsidTr="00BC651A">
        <w:tc>
          <w:tcPr>
            <w:tcW w:w="5535" w:type="dxa"/>
            <w:gridSpan w:val="5"/>
          </w:tcPr>
          <w:p w:rsidR="000352AE" w:rsidRDefault="000352AE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0352AE" w:rsidRDefault="000352AE" w:rsidP="00443D78">
            <w:pPr>
              <w:jc w:val="center"/>
            </w:pPr>
            <w:r>
              <w:t>Плановые значения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2022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2D2206">
            <w:pPr>
              <w:jc w:val="center"/>
            </w:pPr>
            <w:r>
              <w:t>да</w:t>
            </w:r>
          </w:p>
        </w:tc>
        <w:tc>
          <w:tcPr>
            <w:tcW w:w="1107" w:type="dxa"/>
          </w:tcPr>
          <w:p w:rsidR="000352AE" w:rsidRDefault="00106EEF" w:rsidP="00443D78">
            <w:pPr>
              <w:jc w:val="center"/>
            </w:pPr>
            <w:r>
              <w:t>д</w:t>
            </w:r>
            <w:r w:rsidR="000352AE">
              <w:t>а</w:t>
            </w:r>
          </w:p>
        </w:tc>
        <w:tc>
          <w:tcPr>
            <w:tcW w:w="1107" w:type="dxa"/>
          </w:tcPr>
          <w:p w:rsidR="000352AE" w:rsidRDefault="00106EEF" w:rsidP="00443D78">
            <w:pPr>
              <w:jc w:val="center"/>
            </w:pPr>
            <w:r>
              <w:t>д</w:t>
            </w:r>
            <w:r w:rsidR="000352AE">
              <w:t>а</w:t>
            </w:r>
          </w:p>
        </w:tc>
        <w:tc>
          <w:tcPr>
            <w:tcW w:w="1107" w:type="dxa"/>
          </w:tcPr>
          <w:p w:rsidR="000352AE" w:rsidRDefault="00106EEF" w:rsidP="00443D78">
            <w:pPr>
              <w:jc w:val="center"/>
            </w:pPr>
            <w:r>
              <w:t>д</w:t>
            </w:r>
            <w:r w:rsidR="000352AE">
              <w:t>а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да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да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да</w:t>
            </w:r>
          </w:p>
        </w:tc>
        <w:tc>
          <w:tcPr>
            <w:tcW w:w="1108" w:type="dxa"/>
          </w:tcPr>
          <w:p w:rsidR="000352AE" w:rsidRDefault="000352AE" w:rsidP="00443D78">
            <w:pPr>
              <w:jc w:val="center"/>
            </w:pPr>
            <w:r>
              <w:t>Да</w:t>
            </w:r>
          </w:p>
        </w:tc>
      </w:tr>
    </w:tbl>
    <w:p w:rsidR="005822F7" w:rsidRPr="00317911" w:rsidRDefault="005822F7" w:rsidP="00BF1B9C">
      <w:pPr>
        <w:jc w:val="both"/>
        <w:rPr>
          <w:b/>
        </w:rPr>
      </w:pPr>
    </w:p>
    <w:p w:rsidR="00896846" w:rsidRDefault="00317911" w:rsidP="00317911">
      <w:pPr>
        <w:ind w:firstLine="708"/>
        <w:jc w:val="both"/>
      </w:pPr>
      <w:r w:rsidRPr="00317911">
        <w:t xml:space="preserve">Схема </w:t>
      </w:r>
      <w:r>
        <w:t>территориального планирования муниципального образования</w:t>
      </w:r>
      <w:r w:rsidRPr="00317911">
        <w:t xml:space="preserve"> "Красногорский район" у</w:t>
      </w:r>
      <w:r w:rsidR="00094EA4">
        <w:t>тверждена</w:t>
      </w:r>
      <w:r>
        <w:t xml:space="preserve"> р</w:t>
      </w:r>
      <w:r w:rsidRPr="00317911">
        <w:t>ешением Совета депутатов муниципального образования "Красногорский район" от 27.12.2012</w:t>
      </w:r>
      <w:r w:rsidR="00F23DF0">
        <w:t xml:space="preserve"> </w:t>
      </w:r>
      <w:r w:rsidRPr="00317911">
        <w:t>г. №</w:t>
      </w:r>
      <w:r w:rsidR="00E2723C">
        <w:t xml:space="preserve"> </w:t>
      </w:r>
      <w:r w:rsidRPr="00317911">
        <w:t>90</w:t>
      </w:r>
      <w:r>
        <w:t>.</w:t>
      </w:r>
    </w:p>
    <w:p w:rsidR="00317911" w:rsidRDefault="00317911" w:rsidP="005822F7">
      <w:pPr>
        <w:jc w:val="both"/>
      </w:pPr>
    </w:p>
    <w:p w:rsidR="00896846" w:rsidRDefault="00317911" w:rsidP="00896846">
      <w:pPr>
        <w:jc w:val="both"/>
        <w:rPr>
          <w:b/>
        </w:rPr>
      </w:pPr>
      <w:r w:rsidRPr="00A80417">
        <w:t>Показатель 37</w:t>
      </w:r>
      <w:r w:rsidR="00896846" w:rsidRPr="00A80417">
        <w:t>.</w:t>
      </w:r>
      <w:r w:rsidR="00896846">
        <w:t xml:space="preserve"> </w:t>
      </w:r>
      <w:r w:rsidR="00896846">
        <w:rPr>
          <w:b/>
        </w:rPr>
        <w:t>Удовлетворенность населения деятельностью органов местного самоуправления городского округа (муниципального района), в том числе их информационной открытостью:</w:t>
      </w:r>
    </w:p>
    <w:p w:rsidR="002435FD" w:rsidRDefault="002435FD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</w:tblGrid>
      <w:tr w:rsidR="000352AE" w:rsidTr="00BC651A">
        <w:tc>
          <w:tcPr>
            <w:tcW w:w="5535" w:type="dxa"/>
            <w:gridSpan w:val="5"/>
          </w:tcPr>
          <w:p w:rsidR="000352AE" w:rsidRDefault="000352AE" w:rsidP="00443D78">
            <w:pPr>
              <w:jc w:val="center"/>
            </w:pPr>
            <w:r>
              <w:t>Фактические значения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2019</w:t>
            </w:r>
          </w:p>
        </w:tc>
      </w:tr>
      <w:tr w:rsidR="000352AE" w:rsidTr="00BC651A">
        <w:tc>
          <w:tcPr>
            <w:tcW w:w="1107" w:type="dxa"/>
          </w:tcPr>
          <w:p w:rsidR="000352AE" w:rsidRDefault="000352AE" w:rsidP="00443D78">
            <w:pPr>
              <w:jc w:val="both"/>
            </w:pPr>
            <w:r>
              <w:t>44,84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37,28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45,59</w:t>
            </w:r>
          </w:p>
        </w:tc>
        <w:tc>
          <w:tcPr>
            <w:tcW w:w="1107" w:type="dxa"/>
          </w:tcPr>
          <w:p w:rsidR="000352AE" w:rsidRDefault="000352AE" w:rsidP="00443D78">
            <w:pPr>
              <w:jc w:val="center"/>
            </w:pPr>
            <w:r>
              <w:t>45,10</w:t>
            </w:r>
          </w:p>
        </w:tc>
        <w:tc>
          <w:tcPr>
            <w:tcW w:w="1107" w:type="dxa"/>
          </w:tcPr>
          <w:p w:rsidR="000352AE" w:rsidRDefault="00A80417" w:rsidP="00443D78">
            <w:pPr>
              <w:jc w:val="center"/>
            </w:pPr>
            <w:r>
              <w:t>42,41</w:t>
            </w:r>
          </w:p>
        </w:tc>
      </w:tr>
    </w:tbl>
    <w:p w:rsidR="004F5797" w:rsidRDefault="004F5797" w:rsidP="00896846">
      <w:pPr>
        <w:jc w:val="both"/>
      </w:pPr>
    </w:p>
    <w:p w:rsidR="00896846" w:rsidRDefault="00896846" w:rsidP="00896846">
      <w:pPr>
        <w:ind w:firstLine="708"/>
        <w:jc w:val="both"/>
      </w:pPr>
      <w:r>
        <w:t>Удовлетворенность населения деятельностью органов местного самоуправления муниципального района</w:t>
      </w:r>
      <w:r w:rsidR="00E2723C">
        <w:t>,</w:t>
      </w:r>
      <w:r>
        <w:tab/>
      </w:r>
      <w:proofErr w:type="gramStart"/>
      <w:r>
        <w:t>согласно анкетирования</w:t>
      </w:r>
      <w:proofErr w:type="gramEnd"/>
      <w:r>
        <w:t xml:space="preserve"> насе</w:t>
      </w:r>
      <w:r w:rsidR="00C0061B">
        <w:t>ления</w:t>
      </w:r>
      <w:r w:rsidR="00F66A41">
        <w:t>,</w:t>
      </w:r>
      <w:r w:rsidR="00A80417">
        <w:t xml:space="preserve"> в 2019</w:t>
      </w:r>
      <w:r w:rsidR="00094EA4">
        <w:t xml:space="preserve"> году составила</w:t>
      </w:r>
      <w:r w:rsidR="00A80417">
        <w:t xml:space="preserve"> 42,41 процента против 45,10 % в 2018</w:t>
      </w:r>
      <w:r w:rsidR="00FE5967">
        <w:t xml:space="preserve"> году</w:t>
      </w:r>
      <w:r>
        <w:t>.</w:t>
      </w:r>
      <w:r w:rsidR="005822F7">
        <w:t xml:space="preserve"> Снижение показателя удовлетворенности населения деятельностью органов местного самоуправления района к п</w:t>
      </w:r>
      <w:r w:rsidR="00A80417">
        <w:t>оказателю за прошлый год на 2,69</w:t>
      </w:r>
      <w:r w:rsidR="005822F7">
        <w:t xml:space="preserve"> процентных пункта ил</w:t>
      </w:r>
      <w:r w:rsidR="00A80417">
        <w:t xml:space="preserve">и 6 </w:t>
      </w:r>
      <w:r w:rsidR="005822F7">
        <w:t>% связано с неудовлетворенностью медицинским обслуживанием (отсутствие специалистов</w:t>
      </w:r>
      <w:r w:rsidR="00A80417">
        <w:t>: окулиста, терапевтов, невролога, гинеколога;</w:t>
      </w:r>
      <w:r w:rsidR="005822F7">
        <w:t xml:space="preserve"> отсутствие талонов на прием к зубным врачам</w:t>
      </w:r>
      <w:r w:rsidR="00A80417">
        <w:t>, плохое обеспечение лекарствами в стационаре</w:t>
      </w:r>
      <w:r w:rsidR="005822F7">
        <w:t>), снижение рабочих мест в лесопереработке</w:t>
      </w:r>
      <w:r w:rsidR="00A80417">
        <w:t xml:space="preserve"> и в целом отсутствие производства с достойной заработной </w:t>
      </w:r>
      <w:r w:rsidR="00433F10">
        <w:t>п</w:t>
      </w:r>
      <w:r w:rsidR="00A80417">
        <w:t>латой</w:t>
      </w:r>
      <w:r w:rsidR="005822F7">
        <w:t>, неразвитость в</w:t>
      </w:r>
      <w:r w:rsidR="00A80417">
        <w:t xml:space="preserve"> сфере услуг, плохое качество дорог (гравийные дороги из-за большого количества дождей часто были непроезжими)</w:t>
      </w:r>
      <w:r w:rsidR="005822F7">
        <w:t>.</w:t>
      </w:r>
      <w:r>
        <w:t xml:space="preserve"> </w:t>
      </w:r>
    </w:p>
    <w:p w:rsidR="00896846" w:rsidRDefault="00896846" w:rsidP="00896846">
      <w:pPr>
        <w:jc w:val="both"/>
      </w:pPr>
    </w:p>
    <w:p w:rsidR="00896846" w:rsidRDefault="00FE5967" w:rsidP="00896846">
      <w:pPr>
        <w:jc w:val="both"/>
        <w:rPr>
          <w:b/>
        </w:rPr>
      </w:pPr>
      <w:r w:rsidRPr="000F2E41">
        <w:t>По</w:t>
      </w:r>
      <w:r>
        <w:t>казатель № 38</w:t>
      </w:r>
      <w:r w:rsidR="00896846">
        <w:t>.</w:t>
      </w:r>
      <w:r w:rsidR="00896846">
        <w:rPr>
          <w:b/>
        </w:rPr>
        <w:t xml:space="preserve">  Среднегодовая численность постоянного населения:</w:t>
      </w:r>
    </w:p>
    <w:p w:rsidR="002435FD" w:rsidRDefault="002435FD" w:rsidP="00896846">
      <w:pPr>
        <w:jc w:val="both"/>
        <w:rPr>
          <w:b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7"/>
        <w:gridCol w:w="1107"/>
        <w:gridCol w:w="1107"/>
        <w:gridCol w:w="1107"/>
        <w:gridCol w:w="1108"/>
        <w:gridCol w:w="1108"/>
        <w:gridCol w:w="1108"/>
        <w:gridCol w:w="1108"/>
      </w:tblGrid>
      <w:tr w:rsidR="0082342A" w:rsidTr="0082342A">
        <w:tc>
          <w:tcPr>
            <w:tcW w:w="5286" w:type="dxa"/>
            <w:gridSpan w:val="5"/>
          </w:tcPr>
          <w:p w:rsidR="0082342A" w:rsidRDefault="0082342A" w:rsidP="00443D78">
            <w:pPr>
              <w:jc w:val="center"/>
            </w:pPr>
            <w:r>
              <w:tab/>
              <w:t>Фактические значения</w:t>
            </w:r>
            <w:r>
              <w:tab/>
            </w:r>
          </w:p>
        </w:tc>
        <w:tc>
          <w:tcPr>
            <w:tcW w:w="3324" w:type="dxa"/>
            <w:gridSpan w:val="3"/>
          </w:tcPr>
          <w:p w:rsidR="0082342A" w:rsidRDefault="0082342A" w:rsidP="00443D78">
            <w:pPr>
              <w:jc w:val="center"/>
            </w:pPr>
            <w:r>
              <w:t>Плановые значения</w:t>
            </w:r>
          </w:p>
        </w:tc>
      </w:tr>
      <w:tr w:rsidR="0082342A" w:rsidTr="0082342A">
        <w:tc>
          <w:tcPr>
            <w:tcW w:w="857" w:type="dxa"/>
          </w:tcPr>
          <w:p w:rsidR="0082342A" w:rsidRDefault="0082342A" w:rsidP="00443D78">
            <w:pPr>
              <w:jc w:val="center"/>
            </w:pPr>
            <w:r>
              <w:t>2015</w:t>
            </w:r>
          </w:p>
        </w:tc>
        <w:tc>
          <w:tcPr>
            <w:tcW w:w="1107" w:type="dxa"/>
          </w:tcPr>
          <w:p w:rsidR="0082342A" w:rsidRDefault="0082342A" w:rsidP="00443D78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82342A" w:rsidRDefault="0082342A" w:rsidP="00443D78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82342A" w:rsidRDefault="0082342A" w:rsidP="00443D78">
            <w:pPr>
              <w:jc w:val="center"/>
            </w:pPr>
            <w:r>
              <w:t>2018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2019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2022</w:t>
            </w:r>
          </w:p>
        </w:tc>
      </w:tr>
      <w:tr w:rsidR="0082342A" w:rsidTr="0082342A">
        <w:tc>
          <w:tcPr>
            <w:tcW w:w="857" w:type="dxa"/>
          </w:tcPr>
          <w:p w:rsidR="0082342A" w:rsidRDefault="0082342A" w:rsidP="00443D78">
            <w:pPr>
              <w:jc w:val="center"/>
            </w:pPr>
            <w:r>
              <w:t>9,290</w:t>
            </w:r>
          </w:p>
        </w:tc>
        <w:tc>
          <w:tcPr>
            <w:tcW w:w="1107" w:type="dxa"/>
          </w:tcPr>
          <w:p w:rsidR="0082342A" w:rsidRDefault="0082342A" w:rsidP="00443D78">
            <w:pPr>
              <w:jc w:val="center"/>
            </w:pPr>
            <w:r>
              <w:t>9,096</w:t>
            </w:r>
          </w:p>
        </w:tc>
        <w:tc>
          <w:tcPr>
            <w:tcW w:w="1107" w:type="dxa"/>
          </w:tcPr>
          <w:p w:rsidR="0082342A" w:rsidRDefault="0082342A" w:rsidP="00443D78">
            <w:pPr>
              <w:jc w:val="center"/>
            </w:pPr>
            <w:r>
              <w:t>8,953</w:t>
            </w:r>
          </w:p>
        </w:tc>
        <w:tc>
          <w:tcPr>
            <w:tcW w:w="1107" w:type="dxa"/>
          </w:tcPr>
          <w:p w:rsidR="0082342A" w:rsidRDefault="0082342A" w:rsidP="00443D78">
            <w:pPr>
              <w:jc w:val="center"/>
            </w:pPr>
            <w:r>
              <w:t>8,807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8,644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8,530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8,432</w:t>
            </w:r>
          </w:p>
        </w:tc>
        <w:tc>
          <w:tcPr>
            <w:tcW w:w="1108" w:type="dxa"/>
          </w:tcPr>
          <w:p w:rsidR="0082342A" w:rsidRDefault="0082342A" w:rsidP="00443D78">
            <w:pPr>
              <w:jc w:val="center"/>
            </w:pPr>
            <w:r>
              <w:t>8,334</w:t>
            </w:r>
          </w:p>
        </w:tc>
      </w:tr>
    </w:tbl>
    <w:p w:rsidR="004F5797" w:rsidRDefault="004F5797" w:rsidP="00896846">
      <w:pPr>
        <w:jc w:val="both"/>
        <w:rPr>
          <w:b/>
        </w:rPr>
      </w:pPr>
    </w:p>
    <w:p w:rsidR="0082342A" w:rsidRPr="0082342A" w:rsidRDefault="00896846" w:rsidP="0082342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="0082342A" w:rsidRPr="0082342A">
        <w:rPr>
          <w:rFonts w:ascii="Times New Roman" w:hAnsi="Times New Roman" w:cs="Times New Roman"/>
          <w:sz w:val="24"/>
          <w:szCs w:val="24"/>
        </w:rPr>
        <w:t>Среднегодовая численность населения Красногорского района снизилась в 2019 году к уровню 2018 года на 163 человека или 1,85 процента за счет снижения численности населения на 191 человека в 2018 году и 135 человек в 2019 году в результате отрицательного естественного прироста населения (-33 человека) и отрицательной миграции населения (-99 человек). В последующие три года снижение численности населения сохранится. В 2020 году снижение среднегодовой численности постоянного населения составит 92 человека, в 2020 году – 104 человека, в 2022 году – 93 человека с учетом  стабилизации темпов снижения численности населения. Среднегодовая численность постоянного населения в 2022 году составит 8334 человека.</w:t>
      </w:r>
    </w:p>
    <w:p w:rsidR="00FE5967" w:rsidRPr="00FE5967" w:rsidRDefault="00FE5967" w:rsidP="00896846">
      <w:pPr>
        <w:jc w:val="both"/>
      </w:pPr>
    </w:p>
    <w:p w:rsidR="00896846" w:rsidRDefault="00896846" w:rsidP="00896846"/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lastRenderedPageBreak/>
        <w:t>IX</w:t>
      </w:r>
      <w:r>
        <w:rPr>
          <w:b/>
        </w:rPr>
        <w:t>. ЭНЕРГОСБЕРЕЖЕНИЕ И  ПОВЫШЕНИЕ ЭНЕРГЕТИЧЕСКОЙ ЭФФЕКТИВНОСТИ</w:t>
      </w:r>
    </w:p>
    <w:p w:rsidR="000A69CC" w:rsidRDefault="000A69CC" w:rsidP="00896846">
      <w:pPr>
        <w:jc w:val="center"/>
        <w:rPr>
          <w:b/>
        </w:rPr>
      </w:pPr>
    </w:p>
    <w:p w:rsidR="0017722E" w:rsidRDefault="0071404F" w:rsidP="000A69CC">
      <w:pPr>
        <w:ind w:firstLine="708"/>
        <w:jc w:val="both"/>
      </w:pPr>
      <w:r w:rsidRPr="000F2E41">
        <w:t>В</w:t>
      </w:r>
      <w:r w:rsidRPr="000A69CC">
        <w:t xml:space="preserve"> целях энергосбережения и повышения энергетической эффективности в муниципальном образовании «Красногорский район принята муниципальная программа «Энергосбережение и повышение энергетической эффективности</w:t>
      </w:r>
      <w:r w:rsidR="000A69CC" w:rsidRPr="000A69CC">
        <w:t xml:space="preserve"> муниципального образования «К</w:t>
      </w:r>
      <w:r w:rsidR="00F23CE0">
        <w:t>расногорский район» на 2015-2024</w:t>
      </w:r>
      <w:r w:rsidR="000A69CC" w:rsidRPr="000A69CC">
        <w:t xml:space="preserve"> годы</w:t>
      </w:r>
      <w:r w:rsidR="00F23CE0">
        <w:t>. В 2019</w:t>
      </w:r>
      <w:r w:rsidR="000A69CC">
        <w:t xml:space="preserve"> году в рамках исполнения мероприятий муниципальной программы были </w:t>
      </w:r>
      <w:proofErr w:type="gramStart"/>
      <w:r w:rsidR="000A69CC">
        <w:t xml:space="preserve">проведены </w:t>
      </w:r>
      <w:r w:rsidR="00BB4879">
        <w:t xml:space="preserve">кадастровые </w:t>
      </w:r>
      <w:r w:rsidR="000A69CC">
        <w:t>работы</w:t>
      </w:r>
      <w:r w:rsidR="00BB4879">
        <w:t xml:space="preserve"> и изготовлены</w:t>
      </w:r>
      <w:proofErr w:type="gramEnd"/>
      <w:r w:rsidR="00BB4879">
        <w:t xml:space="preserve"> технические планы на 5 объектов водопроводных сетей, установлено 5 узлов учета уличного освещения и заменены</w:t>
      </w:r>
      <w:r w:rsidR="00433F10">
        <w:t xml:space="preserve"> 2 уличных светильника на </w:t>
      </w:r>
      <w:proofErr w:type="spellStart"/>
      <w:r w:rsidR="00433F10">
        <w:t>энерго</w:t>
      </w:r>
      <w:r w:rsidR="00BB4879">
        <w:t>эффективные</w:t>
      </w:r>
      <w:proofErr w:type="spellEnd"/>
      <w:r w:rsidR="00BB4879">
        <w:t xml:space="preserve"> в МО «Красногорское»</w:t>
      </w:r>
      <w:r w:rsidR="0082342A">
        <w:t xml:space="preserve"> на общую сумму 113,4 тыс. руб</w:t>
      </w:r>
      <w:r w:rsidR="00BB4879">
        <w:t>.</w:t>
      </w:r>
    </w:p>
    <w:p w:rsidR="00755DE7" w:rsidRDefault="00755DE7" w:rsidP="000A69CC">
      <w:pPr>
        <w:ind w:firstLine="708"/>
        <w:jc w:val="both"/>
      </w:pPr>
      <w:r>
        <w:t xml:space="preserve">Удельная величина потребления энергоресурсов бюджетными учреждениями района в </w:t>
      </w:r>
      <w:r w:rsidR="00F23CE0">
        <w:t>2019</w:t>
      </w:r>
      <w:r w:rsidR="00424EEB">
        <w:t xml:space="preserve"> году относительно </w:t>
      </w:r>
      <w:r w:rsidR="00727397">
        <w:t>среднереспубликанских показателе</w:t>
      </w:r>
      <w:r w:rsidR="00424EEB">
        <w:t>й</w:t>
      </w:r>
      <w:r w:rsidR="00F23CE0">
        <w:t xml:space="preserve"> за 2018</w:t>
      </w:r>
      <w:r>
        <w:t xml:space="preserve"> год:</w:t>
      </w:r>
    </w:p>
    <w:p w:rsidR="00727397" w:rsidRDefault="00727397" w:rsidP="000A69CC">
      <w:pPr>
        <w:ind w:firstLine="708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1417"/>
        <w:gridCol w:w="1354"/>
      </w:tblGrid>
      <w:tr w:rsidR="00424EEB" w:rsidTr="00424EEB">
        <w:tc>
          <w:tcPr>
            <w:tcW w:w="7196" w:type="dxa"/>
          </w:tcPr>
          <w:p w:rsidR="00424EEB" w:rsidRDefault="00424EEB" w:rsidP="00755DE7">
            <w:pPr>
              <w:jc w:val="both"/>
            </w:pPr>
          </w:p>
        </w:tc>
        <w:tc>
          <w:tcPr>
            <w:tcW w:w="1417" w:type="dxa"/>
          </w:tcPr>
          <w:p w:rsidR="00424EEB" w:rsidRDefault="00F23CE0" w:rsidP="00755DE7">
            <w:pPr>
              <w:jc w:val="both"/>
            </w:pPr>
            <w:r>
              <w:t>по МО в 2019</w:t>
            </w:r>
            <w:r w:rsidR="00424EEB">
              <w:t xml:space="preserve"> году</w:t>
            </w:r>
          </w:p>
        </w:tc>
        <w:tc>
          <w:tcPr>
            <w:tcW w:w="1354" w:type="dxa"/>
          </w:tcPr>
          <w:p w:rsidR="00424EEB" w:rsidRDefault="00F23CE0" w:rsidP="00755DE7">
            <w:pPr>
              <w:jc w:val="both"/>
            </w:pPr>
            <w:r>
              <w:t>по УР</w:t>
            </w:r>
            <w:r w:rsidR="00424EEB">
              <w:t xml:space="preserve"> в 2018 году</w:t>
            </w:r>
          </w:p>
        </w:tc>
      </w:tr>
      <w:tr w:rsidR="00755DE7" w:rsidTr="00424EEB">
        <w:tc>
          <w:tcPr>
            <w:tcW w:w="7196" w:type="dxa"/>
          </w:tcPr>
          <w:p w:rsidR="00755DE7" w:rsidRDefault="00424EEB" w:rsidP="00755DE7">
            <w:pPr>
              <w:jc w:val="both"/>
            </w:pPr>
            <w:r>
              <w:t xml:space="preserve">Электрической энергии в расчете на 1 человека населения, 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417" w:type="dxa"/>
          </w:tcPr>
          <w:p w:rsidR="00755DE7" w:rsidRDefault="00F23CE0" w:rsidP="00424EEB">
            <w:pPr>
              <w:jc w:val="both"/>
            </w:pPr>
            <w:r>
              <w:t>118,73</w:t>
            </w:r>
          </w:p>
        </w:tc>
        <w:tc>
          <w:tcPr>
            <w:tcW w:w="1354" w:type="dxa"/>
          </w:tcPr>
          <w:p w:rsidR="00755DE7" w:rsidRDefault="0082342A" w:rsidP="00755DE7">
            <w:pPr>
              <w:jc w:val="both"/>
            </w:pPr>
            <w:r>
              <w:t>123,8</w:t>
            </w:r>
          </w:p>
        </w:tc>
      </w:tr>
      <w:tr w:rsidR="00755DE7" w:rsidTr="00424EEB">
        <w:tc>
          <w:tcPr>
            <w:tcW w:w="7196" w:type="dxa"/>
          </w:tcPr>
          <w:p w:rsidR="00755DE7" w:rsidRDefault="00424EEB" w:rsidP="00755DE7">
            <w:pPr>
              <w:jc w:val="both"/>
            </w:pPr>
            <w:r>
              <w:t>Тепловой энергии на 1 кв. метр общей площади, Гкал</w:t>
            </w:r>
          </w:p>
        </w:tc>
        <w:tc>
          <w:tcPr>
            <w:tcW w:w="1417" w:type="dxa"/>
          </w:tcPr>
          <w:p w:rsidR="00755DE7" w:rsidRDefault="00F23CE0" w:rsidP="00424EEB">
            <w:pPr>
              <w:jc w:val="both"/>
            </w:pPr>
            <w:r>
              <w:t>0,194</w:t>
            </w:r>
            <w:r w:rsidR="00424EEB">
              <w:t xml:space="preserve"> </w:t>
            </w:r>
          </w:p>
        </w:tc>
        <w:tc>
          <w:tcPr>
            <w:tcW w:w="1354" w:type="dxa"/>
          </w:tcPr>
          <w:p w:rsidR="00755DE7" w:rsidRDefault="0082342A" w:rsidP="00755DE7">
            <w:pPr>
              <w:jc w:val="both"/>
            </w:pPr>
            <w:r>
              <w:t>0,19</w:t>
            </w:r>
          </w:p>
        </w:tc>
      </w:tr>
      <w:tr w:rsidR="00755DE7" w:rsidTr="00424EEB">
        <w:tc>
          <w:tcPr>
            <w:tcW w:w="7196" w:type="dxa"/>
          </w:tcPr>
          <w:p w:rsidR="00755DE7" w:rsidRDefault="00424EEB" w:rsidP="00755DE7">
            <w:pPr>
              <w:jc w:val="both"/>
            </w:pPr>
            <w:r>
              <w:t xml:space="preserve">Холодной воды в расчете на 1 человека населения, куб. м.                </w:t>
            </w:r>
          </w:p>
        </w:tc>
        <w:tc>
          <w:tcPr>
            <w:tcW w:w="1417" w:type="dxa"/>
          </w:tcPr>
          <w:p w:rsidR="00755DE7" w:rsidRDefault="00F23CE0" w:rsidP="00424EEB">
            <w:pPr>
              <w:jc w:val="both"/>
            </w:pPr>
            <w:r>
              <w:t>1,26</w:t>
            </w:r>
            <w:r w:rsidR="00424EEB">
              <w:t xml:space="preserve">            </w:t>
            </w:r>
          </w:p>
        </w:tc>
        <w:tc>
          <w:tcPr>
            <w:tcW w:w="1354" w:type="dxa"/>
          </w:tcPr>
          <w:p w:rsidR="00755DE7" w:rsidRDefault="0082342A" w:rsidP="00755DE7">
            <w:pPr>
              <w:jc w:val="both"/>
            </w:pPr>
            <w:r>
              <w:t>1,52</w:t>
            </w:r>
          </w:p>
        </w:tc>
      </w:tr>
      <w:tr w:rsidR="00755DE7" w:rsidTr="00424EEB">
        <w:tc>
          <w:tcPr>
            <w:tcW w:w="7196" w:type="dxa"/>
          </w:tcPr>
          <w:p w:rsidR="00755DE7" w:rsidRDefault="00424EEB" w:rsidP="00755DE7">
            <w:pPr>
              <w:jc w:val="both"/>
            </w:pPr>
            <w:r>
              <w:t xml:space="preserve">Природного газа в расчете на 1 человека населения, куб. м.                </w:t>
            </w:r>
          </w:p>
        </w:tc>
        <w:tc>
          <w:tcPr>
            <w:tcW w:w="1417" w:type="dxa"/>
          </w:tcPr>
          <w:p w:rsidR="00755DE7" w:rsidRDefault="00F23CE0" w:rsidP="00755DE7">
            <w:pPr>
              <w:jc w:val="both"/>
            </w:pPr>
            <w:r>
              <w:t>6,42</w:t>
            </w:r>
            <w:r w:rsidR="00424EEB">
              <w:t xml:space="preserve"> </w:t>
            </w:r>
          </w:p>
        </w:tc>
        <w:tc>
          <w:tcPr>
            <w:tcW w:w="1354" w:type="dxa"/>
          </w:tcPr>
          <w:p w:rsidR="00755DE7" w:rsidRDefault="0082342A" w:rsidP="00755DE7">
            <w:pPr>
              <w:jc w:val="both"/>
            </w:pPr>
            <w:r>
              <w:t>3,80</w:t>
            </w:r>
          </w:p>
        </w:tc>
      </w:tr>
    </w:tbl>
    <w:p w:rsidR="00755DE7" w:rsidRDefault="00755DE7" w:rsidP="00755DE7">
      <w:pPr>
        <w:jc w:val="both"/>
      </w:pPr>
    </w:p>
    <w:p w:rsidR="004F5797" w:rsidRPr="000442D0" w:rsidRDefault="004F5797" w:rsidP="004F579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442D0">
        <w:t xml:space="preserve">В последующие годы необходимо </w:t>
      </w:r>
      <w:r w:rsidRPr="000442D0">
        <w:rPr>
          <w:rFonts w:eastAsiaTheme="minorHAnsi"/>
          <w:lang w:eastAsia="en-US"/>
        </w:rPr>
        <w:t xml:space="preserve">продолжить работу по реализации требований Федерального закона от 23.11.2009 № 261-ФЗ «Об энергосбережении и повышении энергетической эффективности» в части проведения энергосберегающих мероприятий, установки общедомовых приборов учета, использовать механизм финансирования мероприятий (проектов) по схеме </w:t>
      </w:r>
      <w:proofErr w:type="spellStart"/>
      <w:r w:rsidRPr="000442D0">
        <w:rPr>
          <w:rFonts w:eastAsiaTheme="minorHAnsi"/>
          <w:lang w:eastAsia="en-US"/>
        </w:rPr>
        <w:t>энергосервисных</w:t>
      </w:r>
      <w:proofErr w:type="spellEnd"/>
      <w:r w:rsidRPr="000442D0">
        <w:rPr>
          <w:rFonts w:eastAsiaTheme="minorHAnsi"/>
          <w:lang w:eastAsia="en-US"/>
        </w:rPr>
        <w:t xml:space="preserve"> договоров (контрактов) в соответствии с требова</w:t>
      </w:r>
      <w:r w:rsidR="00F23CE0">
        <w:rPr>
          <w:rFonts w:eastAsiaTheme="minorHAnsi"/>
          <w:lang w:eastAsia="en-US"/>
        </w:rPr>
        <w:t>ниями законодательства.</w:t>
      </w:r>
    </w:p>
    <w:p w:rsidR="000A69CC" w:rsidRPr="000A69CC" w:rsidRDefault="007654AC" w:rsidP="000A69CC">
      <w:pPr>
        <w:ind w:firstLine="708"/>
        <w:jc w:val="both"/>
      </w:pPr>
      <w:r>
        <w:t xml:space="preserve">  </w:t>
      </w:r>
    </w:p>
    <w:p w:rsidR="00896846" w:rsidRDefault="00FE5967" w:rsidP="00896846">
      <w:pPr>
        <w:jc w:val="both"/>
        <w:rPr>
          <w:b/>
        </w:rPr>
      </w:pPr>
      <w:r>
        <w:t>Показатель № 39</w:t>
      </w:r>
      <w:r w:rsidR="00896846">
        <w:t xml:space="preserve">. </w:t>
      </w:r>
      <w:r w:rsidR="00896846">
        <w:rPr>
          <w:b/>
        </w:rPr>
        <w:t>Удельная величина потребления энергетических ресурсов в многоквартирных домах:</w:t>
      </w:r>
    </w:p>
    <w:p w:rsidR="00896846" w:rsidRDefault="00896846" w:rsidP="00896846"/>
    <w:p w:rsidR="00896846" w:rsidRDefault="00FE5967" w:rsidP="00896846">
      <w:r w:rsidRPr="00597034">
        <w:t>Показатель № 39</w:t>
      </w:r>
      <w:r w:rsidR="00896846" w:rsidRPr="00597034">
        <w:t>а.</w:t>
      </w:r>
      <w:r w:rsidR="00896846">
        <w:t xml:space="preserve"> </w:t>
      </w:r>
      <w:r w:rsidR="00896846">
        <w:rPr>
          <w:b/>
        </w:rPr>
        <w:t>электрическая энергия</w:t>
      </w:r>
      <w:r w:rsidR="00896846">
        <w:t>:</w:t>
      </w:r>
    </w:p>
    <w:p w:rsidR="006E730F" w:rsidRDefault="006E730F" w:rsidP="0089684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A4A10" w:rsidTr="00344CA3">
        <w:tc>
          <w:tcPr>
            <w:tcW w:w="5535" w:type="dxa"/>
            <w:gridSpan w:val="5"/>
          </w:tcPr>
          <w:p w:rsidR="00BA4A10" w:rsidRDefault="00BA4A10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A4A10" w:rsidRDefault="00BA4A10" w:rsidP="00755DE7">
            <w:pPr>
              <w:jc w:val="center"/>
            </w:pPr>
            <w:r>
              <w:t>Плановые значения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2022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2D2206">
            <w:pPr>
              <w:jc w:val="center"/>
            </w:pPr>
            <w:r>
              <w:t>902,96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980,18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1130,45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1138,41</w:t>
            </w:r>
          </w:p>
        </w:tc>
        <w:tc>
          <w:tcPr>
            <w:tcW w:w="1107" w:type="dxa"/>
          </w:tcPr>
          <w:p w:rsidR="00BA4A10" w:rsidRDefault="00A66D12" w:rsidP="00755DE7">
            <w:pPr>
              <w:jc w:val="center"/>
            </w:pPr>
            <w:r>
              <w:t>1243,17</w:t>
            </w:r>
          </w:p>
        </w:tc>
        <w:tc>
          <w:tcPr>
            <w:tcW w:w="1107" w:type="dxa"/>
          </w:tcPr>
          <w:p w:rsidR="00BA4A10" w:rsidRDefault="00A66D12" w:rsidP="00755DE7">
            <w:pPr>
              <w:jc w:val="center"/>
            </w:pPr>
            <w:r>
              <w:t>1236,11</w:t>
            </w:r>
          </w:p>
        </w:tc>
        <w:tc>
          <w:tcPr>
            <w:tcW w:w="1108" w:type="dxa"/>
          </w:tcPr>
          <w:p w:rsidR="00BA4A10" w:rsidRDefault="00A66D12" w:rsidP="00755DE7">
            <w:pPr>
              <w:jc w:val="center"/>
            </w:pPr>
            <w:r>
              <w:t>1222,22</w:t>
            </w:r>
          </w:p>
        </w:tc>
        <w:tc>
          <w:tcPr>
            <w:tcW w:w="1108" w:type="dxa"/>
          </w:tcPr>
          <w:p w:rsidR="00BA4A10" w:rsidRDefault="00A66D12" w:rsidP="00755DE7">
            <w:pPr>
              <w:jc w:val="center"/>
            </w:pPr>
            <w:r>
              <w:t>1208,33</w:t>
            </w:r>
          </w:p>
        </w:tc>
      </w:tr>
    </w:tbl>
    <w:p w:rsidR="00755DE7" w:rsidRDefault="00755DE7" w:rsidP="00896846"/>
    <w:p w:rsidR="00896846" w:rsidRDefault="00011177" w:rsidP="00597D78">
      <w:pPr>
        <w:jc w:val="both"/>
      </w:pPr>
      <w:r>
        <w:tab/>
      </w:r>
      <w:r w:rsidR="00A66D12">
        <w:t>В 2019</w:t>
      </w:r>
      <w:r w:rsidRPr="00011177">
        <w:t xml:space="preserve"> году удельная величина потребления электрической энергии</w:t>
      </w:r>
      <w:r w:rsidR="00597D78">
        <w:t xml:space="preserve"> на 1 проживающего в многокв</w:t>
      </w:r>
      <w:r w:rsidR="00CF14CF">
        <w:t>а</w:t>
      </w:r>
      <w:r w:rsidR="00A66D12">
        <w:t>ртирных домах  составила 1243,17</w:t>
      </w:r>
      <w:r w:rsidR="00597D78">
        <w:t xml:space="preserve"> кВт*ч</w:t>
      </w:r>
      <w:r w:rsidRPr="00011177">
        <w:t>.</w:t>
      </w:r>
      <w:r w:rsidR="00CF14CF">
        <w:t xml:space="preserve"> Относительно 20</w:t>
      </w:r>
      <w:r w:rsidR="00A66D12">
        <w:t>18</w:t>
      </w:r>
      <w:r w:rsidR="0088010D">
        <w:t xml:space="preserve"> года показатель увеличился</w:t>
      </w:r>
      <w:r w:rsidR="00597D78">
        <w:t xml:space="preserve"> на </w:t>
      </w:r>
      <w:r w:rsidR="00597034">
        <w:t>9,2</w:t>
      </w:r>
      <w:r w:rsidR="00CF14CF">
        <w:t xml:space="preserve"> % за счет</w:t>
      </w:r>
      <w:r w:rsidR="002F75AA">
        <w:t xml:space="preserve"> снижения жит</w:t>
      </w:r>
      <w:r w:rsidR="00597034">
        <w:t>елей многоквартирных домов на 17 человек при увеличении</w:t>
      </w:r>
      <w:r w:rsidR="002F75AA">
        <w:t xml:space="preserve"> потребл</w:t>
      </w:r>
      <w:r w:rsidR="00597034">
        <w:t>ения электрической энергии на 6,6%</w:t>
      </w:r>
      <w:r w:rsidR="00433F10">
        <w:t xml:space="preserve"> в результате роста применяемых бытовых приборов, потребляющих электрическую энергию</w:t>
      </w:r>
      <w:r w:rsidR="00597034">
        <w:t>.</w:t>
      </w:r>
      <w:r w:rsidR="002F75AA">
        <w:t xml:space="preserve"> </w:t>
      </w:r>
      <w:r w:rsidR="00CF14CF">
        <w:t xml:space="preserve"> </w:t>
      </w:r>
      <w:proofErr w:type="gramStart"/>
      <w:r w:rsidRPr="00011177">
        <w:t xml:space="preserve">В прогнозируемый период </w:t>
      </w:r>
      <w:r w:rsidR="0088010D">
        <w:t xml:space="preserve">ожидается </w:t>
      </w:r>
      <w:r w:rsidR="00CF14CF">
        <w:t>небол</w:t>
      </w:r>
      <w:r w:rsidR="00597034">
        <w:t>ьшое понижение показателя к 2022 году до 1208,33</w:t>
      </w:r>
      <w:r w:rsidRPr="00011177">
        <w:t xml:space="preserve"> кВт*ч на 1 проживающего</w:t>
      </w:r>
      <w:r w:rsidR="00CF14CF">
        <w:t xml:space="preserve"> за счет</w:t>
      </w:r>
      <w:proofErr w:type="gramEnd"/>
      <w:r w:rsidR="00804653">
        <w:t xml:space="preserve"> энергосберегающих мероприятий</w:t>
      </w:r>
      <w:r w:rsidRPr="00011177">
        <w:t>.</w:t>
      </w:r>
    </w:p>
    <w:p w:rsidR="00011177" w:rsidRDefault="00011177" w:rsidP="00896846"/>
    <w:p w:rsidR="00896846" w:rsidRDefault="00011177" w:rsidP="00896846">
      <w:pPr>
        <w:rPr>
          <w:b/>
        </w:rPr>
      </w:pPr>
      <w:r w:rsidRPr="00597034">
        <w:t>Показатель № 39</w:t>
      </w:r>
      <w:r w:rsidR="0071404F" w:rsidRPr="00597034">
        <w:t xml:space="preserve"> </w:t>
      </w:r>
      <w:r w:rsidR="00896846" w:rsidRPr="00597034">
        <w:t>б.</w:t>
      </w:r>
      <w:r w:rsidR="00896846">
        <w:t xml:space="preserve"> </w:t>
      </w:r>
      <w:r w:rsidR="00896846">
        <w:rPr>
          <w:b/>
        </w:rPr>
        <w:t>тепловая энергия: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A4A10" w:rsidTr="00344CA3">
        <w:tc>
          <w:tcPr>
            <w:tcW w:w="5535" w:type="dxa"/>
            <w:gridSpan w:val="5"/>
          </w:tcPr>
          <w:p w:rsidR="00BA4A10" w:rsidRDefault="00BA4A10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A4A10" w:rsidRDefault="00BA4A10" w:rsidP="00755DE7">
            <w:pPr>
              <w:jc w:val="center"/>
            </w:pPr>
            <w:r>
              <w:t>Плановые значения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2022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2D2206">
            <w:pPr>
              <w:jc w:val="center"/>
            </w:pPr>
            <w:r>
              <w:t>0,25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0,25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0,26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0,26</w:t>
            </w:r>
          </w:p>
        </w:tc>
        <w:tc>
          <w:tcPr>
            <w:tcW w:w="1107" w:type="dxa"/>
          </w:tcPr>
          <w:p w:rsidR="00BA4A10" w:rsidRDefault="00597034" w:rsidP="00755DE7">
            <w:pPr>
              <w:jc w:val="center"/>
            </w:pPr>
            <w:r>
              <w:t>0,25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0,25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0,25</w:t>
            </w:r>
          </w:p>
        </w:tc>
        <w:tc>
          <w:tcPr>
            <w:tcW w:w="1108" w:type="dxa"/>
          </w:tcPr>
          <w:p w:rsidR="00BA4A10" w:rsidRDefault="00597034" w:rsidP="00755DE7">
            <w:pPr>
              <w:jc w:val="center"/>
            </w:pPr>
            <w:r>
              <w:t>0,24</w:t>
            </w:r>
          </w:p>
        </w:tc>
      </w:tr>
    </w:tbl>
    <w:p w:rsidR="00755DE7" w:rsidRDefault="00755DE7" w:rsidP="00896846"/>
    <w:p w:rsidR="00896846" w:rsidRDefault="00011177" w:rsidP="008057B3">
      <w:pPr>
        <w:ind w:firstLine="708"/>
        <w:jc w:val="both"/>
      </w:pPr>
      <w:r w:rsidRPr="00011177">
        <w:t>Расход тепловой энергии на 1 кв. метр</w:t>
      </w:r>
      <w:r>
        <w:t xml:space="preserve"> общей</w:t>
      </w:r>
      <w:r w:rsidRPr="00011177">
        <w:t xml:space="preserve"> площад</w:t>
      </w:r>
      <w:r w:rsidR="002F75AA">
        <w:t>и ж</w:t>
      </w:r>
      <w:r w:rsidR="00597034">
        <w:t>илья в 2019</w:t>
      </w:r>
      <w:r>
        <w:t xml:space="preserve"> году составил 0,</w:t>
      </w:r>
      <w:r w:rsidR="00597034">
        <w:t>25</w:t>
      </w:r>
      <w:r w:rsidR="0088010D">
        <w:t xml:space="preserve"> Гкал </w:t>
      </w:r>
      <w:r w:rsidR="00597034">
        <w:t>с падением к показателю за 2018 год на 0,01 Гкал</w:t>
      </w:r>
      <w:r w:rsidR="0088010D">
        <w:t>.</w:t>
      </w:r>
      <w:r w:rsidRPr="00011177">
        <w:t xml:space="preserve"> </w:t>
      </w:r>
      <w:r>
        <w:t xml:space="preserve"> </w:t>
      </w:r>
      <w:r w:rsidR="00804653">
        <w:t>В плановый период</w:t>
      </w:r>
      <w:r w:rsidR="008057B3">
        <w:t xml:space="preserve"> ожидается, что</w:t>
      </w:r>
      <w:r w:rsidRPr="00011177">
        <w:t xml:space="preserve"> данный показатель составит значени</w:t>
      </w:r>
      <w:r w:rsidR="00804653">
        <w:t>е 0,25</w:t>
      </w:r>
      <w:r>
        <w:t xml:space="preserve"> Гкал на 1 метр общей площ</w:t>
      </w:r>
      <w:r w:rsidRPr="00011177">
        <w:t>а</w:t>
      </w:r>
      <w:r>
        <w:t>ди</w:t>
      </w:r>
      <w:r w:rsidR="00FA3975">
        <w:t xml:space="preserve"> жилья</w:t>
      </w:r>
      <w:r w:rsidR="00597034">
        <w:t xml:space="preserve"> в 2020 и 2021 годах и 0,24 Гкал в 2022 году</w:t>
      </w:r>
      <w:r w:rsidR="008057B3">
        <w:t>,</w:t>
      </w:r>
      <w:r w:rsidR="00804653">
        <w:t xml:space="preserve"> с учетом соблюдения температурного графика поставок тепла теплоснабжающей организацией</w:t>
      </w:r>
      <w:r>
        <w:t>.</w:t>
      </w:r>
    </w:p>
    <w:p w:rsidR="00011177" w:rsidRDefault="00011177" w:rsidP="00011177">
      <w:pPr>
        <w:ind w:firstLine="708"/>
      </w:pPr>
    </w:p>
    <w:p w:rsidR="00896846" w:rsidRDefault="00011177" w:rsidP="00896846">
      <w:pPr>
        <w:rPr>
          <w:b/>
        </w:rPr>
      </w:pPr>
      <w:r>
        <w:t>Показатель № 39</w:t>
      </w:r>
      <w:r w:rsidR="00896846">
        <w:t xml:space="preserve">в. </w:t>
      </w:r>
      <w:r w:rsidR="00896846">
        <w:rPr>
          <w:b/>
        </w:rPr>
        <w:t>горячая вода:</w:t>
      </w:r>
    </w:p>
    <w:p w:rsidR="00896846" w:rsidRDefault="00011177" w:rsidP="00896846">
      <w:pPr>
        <w:ind w:firstLine="708"/>
        <w:jc w:val="both"/>
      </w:pPr>
      <w:r>
        <w:t>Горячая вода в муниципальном образовании</w:t>
      </w:r>
      <w:r w:rsidR="00896846">
        <w:t xml:space="preserve"> «Красногорский район» потребителям не поставляется.</w:t>
      </w:r>
    </w:p>
    <w:p w:rsidR="00896846" w:rsidRDefault="00896846" w:rsidP="00896846"/>
    <w:p w:rsidR="00896846" w:rsidRDefault="00011177" w:rsidP="00896846">
      <w:pPr>
        <w:rPr>
          <w:b/>
        </w:rPr>
      </w:pPr>
      <w:r w:rsidRPr="00597034">
        <w:t>Показатель № 39</w:t>
      </w:r>
      <w:r w:rsidR="0071404F" w:rsidRPr="00597034">
        <w:t xml:space="preserve"> </w:t>
      </w:r>
      <w:r w:rsidR="00896846" w:rsidRPr="00597034">
        <w:t>г.</w:t>
      </w:r>
      <w:r w:rsidR="00896846">
        <w:t xml:space="preserve"> </w:t>
      </w:r>
      <w:r w:rsidR="00896846">
        <w:rPr>
          <w:b/>
        </w:rPr>
        <w:t>холодная вода: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A4A10" w:rsidTr="00344CA3">
        <w:tc>
          <w:tcPr>
            <w:tcW w:w="5535" w:type="dxa"/>
            <w:gridSpan w:val="5"/>
          </w:tcPr>
          <w:p w:rsidR="00BA4A10" w:rsidRDefault="00BA4A10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A4A10" w:rsidRDefault="00BA4A10" w:rsidP="00755DE7">
            <w:pPr>
              <w:jc w:val="center"/>
            </w:pPr>
            <w:r>
              <w:t>Плановые значения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2022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2D2206">
            <w:pPr>
              <w:jc w:val="center"/>
            </w:pPr>
            <w:r>
              <w:t>28,71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26,47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24,87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25,07</w:t>
            </w:r>
          </w:p>
        </w:tc>
        <w:tc>
          <w:tcPr>
            <w:tcW w:w="1107" w:type="dxa"/>
          </w:tcPr>
          <w:p w:rsidR="00BA4A10" w:rsidRDefault="00597034" w:rsidP="00755DE7">
            <w:pPr>
              <w:jc w:val="center"/>
            </w:pPr>
            <w:r>
              <w:t>23,71</w:t>
            </w:r>
          </w:p>
        </w:tc>
        <w:tc>
          <w:tcPr>
            <w:tcW w:w="1107" w:type="dxa"/>
          </w:tcPr>
          <w:p w:rsidR="00BA4A10" w:rsidRDefault="00597034" w:rsidP="00755DE7">
            <w:pPr>
              <w:jc w:val="center"/>
            </w:pPr>
            <w:r>
              <w:t>23,61</w:t>
            </w:r>
          </w:p>
        </w:tc>
        <w:tc>
          <w:tcPr>
            <w:tcW w:w="1108" w:type="dxa"/>
          </w:tcPr>
          <w:p w:rsidR="00BA4A10" w:rsidRDefault="00597034" w:rsidP="00755DE7">
            <w:pPr>
              <w:jc w:val="center"/>
            </w:pPr>
            <w:r>
              <w:t>23,47</w:t>
            </w:r>
          </w:p>
        </w:tc>
        <w:tc>
          <w:tcPr>
            <w:tcW w:w="1108" w:type="dxa"/>
          </w:tcPr>
          <w:p w:rsidR="00BA4A10" w:rsidRDefault="00597034" w:rsidP="00755DE7">
            <w:pPr>
              <w:jc w:val="center"/>
            </w:pPr>
            <w:r>
              <w:t>23,33</w:t>
            </w:r>
          </w:p>
        </w:tc>
      </w:tr>
    </w:tbl>
    <w:p w:rsidR="00755DE7" w:rsidRDefault="00755DE7" w:rsidP="00896846">
      <w:pPr>
        <w:rPr>
          <w:b/>
        </w:rPr>
      </w:pPr>
    </w:p>
    <w:p w:rsidR="00011177" w:rsidRDefault="00011177" w:rsidP="00011177">
      <w:pPr>
        <w:ind w:firstLine="708"/>
        <w:jc w:val="both"/>
      </w:pPr>
      <w:proofErr w:type="gramStart"/>
      <w:r w:rsidRPr="00011177">
        <w:t>Расход холодной воды на 1 проживающего в многоквартирных домах составил</w:t>
      </w:r>
      <w:r w:rsidR="00597034">
        <w:t xml:space="preserve"> в 2019 году  23,71</w:t>
      </w:r>
      <w:r w:rsidRPr="00011177">
        <w:t xml:space="preserve"> куб.</w:t>
      </w:r>
      <w:r>
        <w:t xml:space="preserve"> </w:t>
      </w:r>
      <w:r w:rsidR="00597034">
        <w:t>м, По отношению к  2018 году наблюдается снижение</w:t>
      </w:r>
      <w:r w:rsidR="00747EEE">
        <w:t xml:space="preserve"> </w:t>
      </w:r>
      <w:r w:rsidRPr="00011177">
        <w:t xml:space="preserve">данного показателя </w:t>
      </w:r>
      <w:r w:rsidR="00597034">
        <w:t>на 1,36</w:t>
      </w:r>
      <w:r w:rsidR="000D0B9B">
        <w:t xml:space="preserve"> куб. м</w:t>
      </w:r>
      <w:r w:rsidR="00597034">
        <w:t xml:space="preserve"> (5,4</w:t>
      </w:r>
      <w:r w:rsidR="0088010D">
        <w:t>%)</w:t>
      </w:r>
      <w:r w:rsidR="000D0B9B">
        <w:t xml:space="preserve"> при снижении объема по</w:t>
      </w:r>
      <w:r w:rsidR="0088010D">
        <w:t>требленной воды</w:t>
      </w:r>
      <w:r w:rsidR="00597034">
        <w:t xml:space="preserve"> с 18,48 тыс. куб. м до 17,07</w:t>
      </w:r>
      <w:r w:rsidR="002F75AA">
        <w:t xml:space="preserve"> тыс. куб. м. при</w:t>
      </w:r>
      <w:r w:rsidR="00804653">
        <w:t xml:space="preserve"> снижении числа</w:t>
      </w:r>
      <w:r w:rsidR="00747EEE">
        <w:t xml:space="preserve"> проживающих в многоквартирном жилье</w:t>
      </w:r>
      <w:r w:rsidR="00597034">
        <w:t xml:space="preserve"> (на 17 человек) до 720</w:t>
      </w:r>
      <w:r w:rsidR="00804653">
        <w:t xml:space="preserve"> человек</w:t>
      </w:r>
      <w:r w:rsidRPr="00011177">
        <w:t>.</w:t>
      </w:r>
      <w:proofErr w:type="gramEnd"/>
      <w:r w:rsidRPr="00011177">
        <w:t xml:space="preserve"> </w:t>
      </w:r>
      <w:r w:rsidR="00A31A5A">
        <w:t>В прогнозируемом периоде потребление воды на 1 проживающего в многок</w:t>
      </w:r>
      <w:r w:rsidR="000D0B9B">
        <w:t>варт</w:t>
      </w:r>
      <w:r w:rsidR="00804653">
        <w:t>ирных домах ежегодно будет</w:t>
      </w:r>
      <w:r w:rsidR="0088010D">
        <w:t xml:space="preserve"> </w:t>
      </w:r>
      <w:r w:rsidR="007654AC">
        <w:t xml:space="preserve">незначительно </w:t>
      </w:r>
      <w:r w:rsidR="00804653">
        <w:t>снижаться</w:t>
      </w:r>
      <w:r w:rsidR="00910DF1">
        <w:t xml:space="preserve"> с уровнем </w:t>
      </w:r>
      <w:r w:rsidR="0088010D">
        <w:t xml:space="preserve"> к 20</w:t>
      </w:r>
      <w:r w:rsidR="00597034">
        <w:t>22 году 23,33</w:t>
      </w:r>
      <w:r w:rsidR="007654AC">
        <w:t xml:space="preserve"> куб. м.</w:t>
      </w:r>
      <w:r w:rsidR="000D0B9B">
        <w:t xml:space="preserve"> за счет</w:t>
      </w:r>
      <w:r w:rsidR="00910DF1">
        <w:t xml:space="preserve"> возрастания</w:t>
      </w:r>
      <w:r w:rsidR="000D0B9B">
        <w:t xml:space="preserve"> </w:t>
      </w:r>
      <w:r w:rsidR="00BA2C1D">
        <w:t>использования индивидуальных и групповых приборов учета расхода воды</w:t>
      </w:r>
      <w:r w:rsidR="00A31A5A">
        <w:t>.</w:t>
      </w:r>
    </w:p>
    <w:p w:rsidR="00A31A5A" w:rsidRDefault="00A31A5A" w:rsidP="00011177">
      <w:pPr>
        <w:ind w:firstLine="708"/>
        <w:jc w:val="both"/>
      </w:pPr>
    </w:p>
    <w:p w:rsidR="00896846" w:rsidRDefault="00955538" w:rsidP="00896846">
      <w:pPr>
        <w:rPr>
          <w:b/>
        </w:rPr>
      </w:pPr>
      <w:r w:rsidRPr="00597034">
        <w:t>Показатель № 39</w:t>
      </w:r>
      <w:r w:rsidR="00896846" w:rsidRPr="00597034">
        <w:t xml:space="preserve"> д.</w:t>
      </w:r>
      <w:r w:rsidR="00896846">
        <w:t xml:space="preserve"> </w:t>
      </w:r>
      <w:r w:rsidR="00896846">
        <w:rPr>
          <w:b/>
        </w:rPr>
        <w:t>природный газ: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BA4A10" w:rsidTr="00344CA3">
        <w:tc>
          <w:tcPr>
            <w:tcW w:w="5535" w:type="dxa"/>
            <w:gridSpan w:val="5"/>
          </w:tcPr>
          <w:p w:rsidR="00BA4A10" w:rsidRDefault="00BA4A10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BA4A10" w:rsidRDefault="00BA4A10" w:rsidP="00755DE7">
            <w:pPr>
              <w:jc w:val="center"/>
            </w:pPr>
            <w:r>
              <w:t>Плановые значения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BA4A10" w:rsidRDefault="00BA4A10" w:rsidP="00755DE7">
            <w:pPr>
              <w:jc w:val="center"/>
            </w:pPr>
            <w:r>
              <w:t>2022</w:t>
            </w:r>
          </w:p>
        </w:tc>
      </w:tr>
      <w:tr w:rsidR="00BA4A10" w:rsidTr="00344CA3">
        <w:tc>
          <w:tcPr>
            <w:tcW w:w="1107" w:type="dxa"/>
          </w:tcPr>
          <w:p w:rsidR="00BA4A10" w:rsidRDefault="00BA4A10" w:rsidP="002D2206">
            <w:pPr>
              <w:jc w:val="center"/>
            </w:pPr>
            <w:r>
              <w:t>67,41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90,35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93,67</w:t>
            </w:r>
          </w:p>
        </w:tc>
        <w:tc>
          <w:tcPr>
            <w:tcW w:w="1107" w:type="dxa"/>
          </w:tcPr>
          <w:p w:rsidR="00BA4A10" w:rsidRDefault="00BA4A10" w:rsidP="00755DE7">
            <w:pPr>
              <w:jc w:val="center"/>
            </w:pPr>
            <w:r>
              <w:t>93,31</w:t>
            </w:r>
          </w:p>
        </w:tc>
        <w:tc>
          <w:tcPr>
            <w:tcW w:w="1107" w:type="dxa"/>
          </w:tcPr>
          <w:p w:rsidR="00BA4A10" w:rsidRDefault="00597034" w:rsidP="00755DE7">
            <w:pPr>
              <w:jc w:val="center"/>
            </w:pPr>
            <w:r>
              <w:t>95,57</w:t>
            </w:r>
          </w:p>
        </w:tc>
        <w:tc>
          <w:tcPr>
            <w:tcW w:w="1107" w:type="dxa"/>
          </w:tcPr>
          <w:p w:rsidR="00BA4A10" w:rsidRDefault="00597034" w:rsidP="00755DE7">
            <w:pPr>
              <w:jc w:val="center"/>
            </w:pPr>
            <w:r>
              <w:t>96,17</w:t>
            </w:r>
          </w:p>
        </w:tc>
        <w:tc>
          <w:tcPr>
            <w:tcW w:w="1108" w:type="dxa"/>
          </w:tcPr>
          <w:p w:rsidR="00BA4A10" w:rsidRDefault="00597034" w:rsidP="00755DE7">
            <w:pPr>
              <w:jc w:val="center"/>
            </w:pPr>
            <w:r>
              <w:t>96,00</w:t>
            </w:r>
          </w:p>
        </w:tc>
        <w:tc>
          <w:tcPr>
            <w:tcW w:w="1108" w:type="dxa"/>
          </w:tcPr>
          <w:p w:rsidR="00BA4A10" w:rsidRDefault="00597034" w:rsidP="00755DE7">
            <w:pPr>
              <w:jc w:val="center"/>
            </w:pPr>
            <w:r>
              <w:t>95,83</w:t>
            </w:r>
          </w:p>
        </w:tc>
      </w:tr>
    </w:tbl>
    <w:p w:rsidR="00755DE7" w:rsidRDefault="00755DE7" w:rsidP="00896846"/>
    <w:p w:rsidR="00011177" w:rsidRDefault="00011177" w:rsidP="00011177">
      <w:pPr>
        <w:ind w:firstLine="708"/>
        <w:jc w:val="both"/>
      </w:pPr>
      <w:r w:rsidRPr="00011177">
        <w:t>Потребление природного газа</w:t>
      </w:r>
      <w:r w:rsidR="00747EEE">
        <w:t xml:space="preserve"> на 1 проживающего в</w:t>
      </w:r>
      <w:r w:rsidRPr="00011177">
        <w:t xml:space="preserve"> многок</w:t>
      </w:r>
      <w:r w:rsidR="00597034">
        <w:t>вартирных домах составило в 2019 году 95,57</w:t>
      </w:r>
      <w:r w:rsidRPr="00011177">
        <w:t xml:space="preserve"> куб. м. </w:t>
      </w:r>
      <w:r w:rsidR="007654AC">
        <w:t>при потребле</w:t>
      </w:r>
      <w:r w:rsidR="00597034">
        <w:t>нии газа 57,82</w:t>
      </w:r>
      <w:r w:rsidR="007654AC">
        <w:t xml:space="preserve"> тыс. куб.</w:t>
      </w:r>
      <w:r w:rsidR="00A80417">
        <w:t xml:space="preserve"> м против 56,73</w:t>
      </w:r>
      <w:r w:rsidR="007654AC">
        <w:t xml:space="preserve"> тыс. куб.</w:t>
      </w:r>
      <w:r w:rsidR="00A80417">
        <w:t xml:space="preserve"> м в 2018</w:t>
      </w:r>
      <w:r w:rsidR="00910DF1">
        <w:t xml:space="preserve"> году. </w:t>
      </w:r>
      <w:r w:rsidR="007654AC">
        <w:t>В последующие три года п</w:t>
      </w:r>
      <w:r w:rsidR="007654AC" w:rsidRPr="00011177">
        <w:t>отребление природного газа</w:t>
      </w:r>
      <w:r w:rsidR="007654AC">
        <w:t xml:space="preserve"> на 1 проживающего в</w:t>
      </w:r>
      <w:r w:rsidR="007654AC" w:rsidRPr="00011177">
        <w:t xml:space="preserve"> многок</w:t>
      </w:r>
      <w:r w:rsidR="007654AC">
        <w:t xml:space="preserve">вартирных домах </w:t>
      </w:r>
      <w:r w:rsidR="00A80417">
        <w:t>незначительно возрастет</w:t>
      </w:r>
      <w:r w:rsidR="007654AC">
        <w:t>.</w:t>
      </w:r>
    </w:p>
    <w:p w:rsidR="007654AC" w:rsidRDefault="007654AC" w:rsidP="00011177">
      <w:pPr>
        <w:ind w:firstLine="708"/>
        <w:jc w:val="both"/>
      </w:pPr>
    </w:p>
    <w:p w:rsidR="00896846" w:rsidRDefault="002003EF" w:rsidP="00896846">
      <w:pPr>
        <w:jc w:val="both"/>
        <w:rPr>
          <w:b/>
        </w:rPr>
      </w:pPr>
      <w:r w:rsidRPr="000F2E41">
        <w:t>По</w:t>
      </w:r>
      <w:r>
        <w:t xml:space="preserve">казатель № </w:t>
      </w:r>
      <w:r w:rsidRPr="000C0496">
        <w:rPr>
          <w:b/>
        </w:rPr>
        <w:t>40</w:t>
      </w:r>
      <w:r w:rsidR="00896846" w:rsidRPr="000C0496">
        <w:rPr>
          <w:b/>
        </w:rPr>
        <w:t>.</w:t>
      </w:r>
      <w:r w:rsidR="00896846">
        <w:t xml:space="preserve"> </w:t>
      </w:r>
      <w:r w:rsidR="00896846">
        <w:rPr>
          <w:b/>
        </w:rPr>
        <w:t>Удельная величина потребления энергетических ресурсов муниципальными бюджетными учреждениями:</w:t>
      </w:r>
    </w:p>
    <w:p w:rsidR="00896846" w:rsidRDefault="00896846" w:rsidP="00896846">
      <w:pPr>
        <w:rPr>
          <w:b/>
        </w:rPr>
      </w:pPr>
    </w:p>
    <w:p w:rsidR="00896846" w:rsidRDefault="002003EF" w:rsidP="00896846">
      <w:pPr>
        <w:rPr>
          <w:b/>
        </w:rPr>
      </w:pPr>
      <w:r>
        <w:t>Показатель № 40</w:t>
      </w:r>
      <w:r w:rsidR="00896846">
        <w:t xml:space="preserve">а. </w:t>
      </w:r>
      <w:r w:rsidR="00896846">
        <w:rPr>
          <w:b/>
        </w:rPr>
        <w:t>электрическая энергия: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51503D" w:rsidTr="00BC651A">
        <w:tc>
          <w:tcPr>
            <w:tcW w:w="5535" w:type="dxa"/>
            <w:gridSpan w:val="5"/>
          </w:tcPr>
          <w:p w:rsidR="0051503D" w:rsidRDefault="0051503D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51503D" w:rsidRDefault="0051503D" w:rsidP="00755DE7">
            <w:pPr>
              <w:jc w:val="center"/>
            </w:pPr>
            <w:r>
              <w:t>Плановые значения</w:t>
            </w:r>
          </w:p>
        </w:tc>
      </w:tr>
      <w:tr w:rsidR="0051503D" w:rsidTr="00BC651A">
        <w:tc>
          <w:tcPr>
            <w:tcW w:w="1107" w:type="dxa"/>
          </w:tcPr>
          <w:p w:rsidR="0051503D" w:rsidRDefault="0051503D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51503D" w:rsidRDefault="0051503D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51503D" w:rsidRDefault="0051503D" w:rsidP="00755DE7">
            <w:pPr>
              <w:jc w:val="center"/>
            </w:pPr>
            <w:r>
              <w:t>2022</w:t>
            </w:r>
          </w:p>
        </w:tc>
      </w:tr>
      <w:tr w:rsidR="0051503D" w:rsidTr="00BC651A">
        <w:tc>
          <w:tcPr>
            <w:tcW w:w="1107" w:type="dxa"/>
          </w:tcPr>
          <w:p w:rsidR="0051503D" w:rsidRDefault="0051503D" w:rsidP="002D2206">
            <w:pPr>
              <w:jc w:val="center"/>
            </w:pPr>
            <w:r>
              <w:t>118,91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112,75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112,51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109,37</w:t>
            </w:r>
          </w:p>
        </w:tc>
        <w:tc>
          <w:tcPr>
            <w:tcW w:w="1107" w:type="dxa"/>
          </w:tcPr>
          <w:p w:rsidR="0051503D" w:rsidRDefault="0051503D" w:rsidP="00755DE7">
            <w:pPr>
              <w:jc w:val="center"/>
            </w:pPr>
            <w:r>
              <w:t>118,73</w:t>
            </w:r>
          </w:p>
        </w:tc>
        <w:tc>
          <w:tcPr>
            <w:tcW w:w="1107" w:type="dxa"/>
          </w:tcPr>
          <w:p w:rsidR="0051503D" w:rsidRDefault="00F23CE0" w:rsidP="00755DE7">
            <w:pPr>
              <w:jc w:val="center"/>
            </w:pPr>
            <w:r>
              <w:t>120,75</w:t>
            </w:r>
          </w:p>
        </w:tc>
        <w:tc>
          <w:tcPr>
            <w:tcW w:w="1108" w:type="dxa"/>
          </w:tcPr>
          <w:p w:rsidR="0051503D" w:rsidRDefault="00F23CE0" w:rsidP="00755DE7">
            <w:pPr>
              <w:jc w:val="center"/>
            </w:pPr>
            <w:r>
              <w:t>122,15</w:t>
            </w:r>
          </w:p>
        </w:tc>
        <w:tc>
          <w:tcPr>
            <w:tcW w:w="1108" w:type="dxa"/>
          </w:tcPr>
          <w:p w:rsidR="0051503D" w:rsidRDefault="00F23CE0" w:rsidP="00755DE7">
            <w:pPr>
              <w:jc w:val="center"/>
            </w:pPr>
            <w:r>
              <w:t>123,59</w:t>
            </w:r>
          </w:p>
        </w:tc>
      </w:tr>
    </w:tbl>
    <w:p w:rsidR="00336F97" w:rsidRDefault="00336F97" w:rsidP="00896846">
      <w:pPr>
        <w:rPr>
          <w:b/>
        </w:rPr>
      </w:pPr>
    </w:p>
    <w:p w:rsidR="00F63E97" w:rsidRPr="00F23CE0" w:rsidRDefault="00F63E97" w:rsidP="006A3D66">
      <w:pPr>
        <w:ind w:firstLine="708"/>
        <w:jc w:val="both"/>
      </w:pPr>
      <w:r w:rsidRPr="006A3D66">
        <w:t>Потребление электрической энергии бюджетными учреждениями   в р</w:t>
      </w:r>
      <w:r w:rsidR="00336F97">
        <w:t>асчете на 1 жителя района в 2</w:t>
      </w:r>
      <w:r w:rsidR="00F23CE0">
        <w:t>019</w:t>
      </w:r>
      <w:r w:rsidRPr="006A3D66">
        <w:t xml:space="preserve"> году</w:t>
      </w:r>
      <w:r w:rsidR="00F23CE0">
        <w:t xml:space="preserve"> составило 118,73</w:t>
      </w:r>
      <w:r w:rsidR="00336F97">
        <w:t xml:space="preserve"> кВт.</w:t>
      </w:r>
      <w:r w:rsidR="00F23CE0">
        <w:t xml:space="preserve"> </w:t>
      </w:r>
      <w:r w:rsidR="00336F97" w:rsidRPr="00F23CE0">
        <w:t xml:space="preserve">ч </w:t>
      </w:r>
      <w:r w:rsidR="00F23CE0" w:rsidRPr="00F23CE0">
        <w:t>и возросло к уровню потребления 2018 года на 8,6 % за счет роста потребления электрической энергии на уличное освещение и работу приборов</w:t>
      </w:r>
      <w:r w:rsidR="00F23CE0">
        <w:t>, потребляющих электрическую энергию</w:t>
      </w:r>
      <w:r w:rsidR="00F23CE0" w:rsidRPr="00F23CE0">
        <w:t xml:space="preserve">  на 6,5% при  снижении среднегодовой численности населения ра</w:t>
      </w:r>
      <w:r w:rsidR="00F23CE0">
        <w:t>йона  на 1,85</w:t>
      </w:r>
      <w:r w:rsidR="00F23CE0" w:rsidRPr="00F23CE0">
        <w:t xml:space="preserve"> %. В прогнозируемый трехлетний период потребление электрической энергии в расчете на 1 человека населения возрастает за счет ввода в эксплуатацию в 2020 году ФОК в с. Красногорское,  ежегодного снижения численности населения района.</w:t>
      </w:r>
    </w:p>
    <w:p w:rsidR="00896846" w:rsidRDefault="00896846" w:rsidP="00896846"/>
    <w:p w:rsidR="00896846" w:rsidRDefault="00F63E97" w:rsidP="00896846">
      <w:pPr>
        <w:rPr>
          <w:b/>
        </w:rPr>
      </w:pPr>
      <w:r>
        <w:t>Показатель № 40</w:t>
      </w:r>
      <w:r w:rsidR="00896846">
        <w:t xml:space="preserve">б. </w:t>
      </w:r>
      <w:r w:rsidR="00896846">
        <w:rPr>
          <w:b/>
        </w:rPr>
        <w:t>тепловая энергия: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0"/>
        <w:gridCol w:w="1031"/>
        <w:gridCol w:w="1031"/>
        <w:gridCol w:w="1031"/>
        <w:gridCol w:w="1088"/>
        <w:gridCol w:w="1134"/>
        <w:gridCol w:w="1276"/>
        <w:gridCol w:w="1276"/>
      </w:tblGrid>
      <w:tr w:rsidR="00D17DEF" w:rsidTr="00D17DEF">
        <w:tc>
          <w:tcPr>
            <w:tcW w:w="5211" w:type="dxa"/>
            <w:gridSpan w:val="5"/>
          </w:tcPr>
          <w:p w:rsidR="00D17DEF" w:rsidRDefault="00D17DEF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686" w:type="dxa"/>
            <w:gridSpan w:val="3"/>
          </w:tcPr>
          <w:p w:rsidR="00D17DEF" w:rsidRDefault="00D17DEF" w:rsidP="00755DE7">
            <w:pPr>
              <w:jc w:val="center"/>
            </w:pPr>
            <w:r>
              <w:t>Плановые значения</w:t>
            </w:r>
          </w:p>
        </w:tc>
      </w:tr>
      <w:tr w:rsidR="00D17DEF" w:rsidTr="00D17DEF">
        <w:tc>
          <w:tcPr>
            <w:tcW w:w="1030" w:type="dxa"/>
          </w:tcPr>
          <w:p w:rsidR="00D17DEF" w:rsidRDefault="00D17DEF" w:rsidP="00755DE7">
            <w:pPr>
              <w:jc w:val="both"/>
            </w:pPr>
            <w:r>
              <w:t>2015</w:t>
            </w:r>
          </w:p>
        </w:tc>
        <w:tc>
          <w:tcPr>
            <w:tcW w:w="1031" w:type="dxa"/>
          </w:tcPr>
          <w:p w:rsidR="00D17DEF" w:rsidRDefault="00D17DEF" w:rsidP="00755DE7">
            <w:pPr>
              <w:jc w:val="center"/>
            </w:pPr>
            <w:r>
              <w:t>2016</w:t>
            </w:r>
          </w:p>
        </w:tc>
        <w:tc>
          <w:tcPr>
            <w:tcW w:w="1031" w:type="dxa"/>
          </w:tcPr>
          <w:p w:rsidR="00D17DEF" w:rsidRDefault="00D17DEF" w:rsidP="00755DE7">
            <w:pPr>
              <w:jc w:val="center"/>
            </w:pPr>
            <w:r>
              <w:t>2017</w:t>
            </w:r>
          </w:p>
        </w:tc>
        <w:tc>
          <w:tcPr>
            <w:tcW w:w="1031" w:type="dxa"/>
          </w:tcPr>
          <w:p w:rsidR="00D17DEF" w:rsidRDefault="00D17DEF" w:rsidP="00755DE7">
            <w:pPr>
              <w:jc w:val="center"/>
            </w:pPr>
            <w:r>
              <w:t>2018</w:t>
            </w:r>
          </w:p>
        </w:tc>
        <w:tc>
          <w:tcPr>
            <w:tcW w:w="1088" w:type="dxa"/>
          </w:tcPr>
          <w:p w:rsidR="00D17DEF" w:rsidRDefault="00D17DEF" w:rsidP="00755DE7">
            <w:pPr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17DEF" w:rsidRDefault="0051503D" w:rsidP="00755DE7">
            <w:pPr>
              <w:jc w:val="center"/>
            </w:pPr>
            <w:r>
              <w:t>2020</w:t>
            </w:r>
          </w:p>
        </w:tc>
        <w:tc>
          <w:tcPr>
            <w:tcW w:w="1276" w:type="dxa"/>
          </w:tcPr>
          <w:p w:rsidR="00D17DEF" w:rsidRDefault="0051503D" w:rsidP="00755DE7">
            <w:pPr>
              <w:jc w:val="center"/>
            </w:pPr>
            <w:r>
              <w:t>2021</w:t>
            </w:r>
          </w:p>
        </w:tc>
        <w:tc>
          <w:tcPr>
            <w:tcW w:w="1276" w:type="dxa"/>
          </w:tcPr>
          <w:p w:rsidR="00D17DEF" w:rsidRDefault="0051503D" w:rsidP="00755DE7">
            <w:pPr>
              <w:jc w:val="center"/>
            </w:pPr>
            <w:r>
              <w:t>2022</w:t>
            </w:r>
          </w:p>
        </w:tc>
      </w:tr>
      <w:tr w:rsidR="00D17DEF" w:rsidTr="00D17DEF">
        <w:tc>
          <w:tcPr>
            <w:tcW w:w="1030" w:type="dxa"/>
          </w:tcPr>
          <w:p w:rsidR="00D17DEF" w:rsidRDefault="00D17DEF" w:rsidP="002D2206">
            <w:pPr>
              <w:jc w:val="center"/>
            </w:pPr>
            <w:r>
              <w:t>0,18</w:t>
            </w:r>
          </w:p>
        </w:tc>
        <w:tc>
          <w:tcPr>
            <w:tcW w:w="1031" w:type="dxa"/>
          </w:tcPr>
          <w:p w:rsidR="00D17DEF" w:rsidRDefault="00D17DEF" w:rsidP="00755DE7">
            <w:pPr>
              <w:jc w:val="center"/>
            </w:pPr>
            <w:r>
              <w:t>0,19</w:t>
            </w:r>
          </w:p>
        </w:tc>
        <w:tc>
          <w:tcPr>
            <w:tcW w:w="1031" w:type="dxa"/>
          </w:tcPr>
          <w:p w:rsidR="00D17DEF" w:rsidRDefault="00D17DEF" w:rsidP="00755DE7">
            <w:pPr>
              <w:jc w:val="center"/>
            </w:pPr>
            <w:r>
              <w:t>0,21</w:t>
            </w:r>
          </w:p>
        </w:tc>
        <w:tc>
          <w:tcPr>
            <w:tcW w:w="1031" w:type="dxa"/>
          </w:tcPr>
          <w:p w:rsidR="00D17DEF" w:rsidRDefault="00D17DEF" w:rsidP="00755DE7">
            <w:pPr>
              <w:jc w:val="center"/>
            </w:pPr>
            <w:r>
              <w:t>0,21</w:t>
            </w:r>
          </w:p>
        </w:tc>
        <w:tc>
          <w:tcPr>
            <w:tcW w:w="1088" w:type="dxa"/>
          </w:tcPr>
          <w:p w:rsidR="00D17DEF" w:rsidRDefault="00D17DEF" w:rsidP="00755DE7">
            <w:pPr>
              <w:jc w:val="center"/>
            </w:pPr>
            <w:r>
              <w:t>0,194</w:t>
            </w:r>
          </w:p>
        </w:tc>
        <w:tc>
          <w:tcPr>
            <w:tcW w:w="1134" w:type="dxa"/>
          </w:tcPr>
          <w:p w:rsidR="00D17DEF" w:rsidRDefault="00D17DEF" w:rsidP="00755DE7">
            <w:pPr>
              <w:jc w:val="center"/>
            </w:pPr>
            <w:r>
              <w:t>0,194</w:t>
            </w:r>
          </w:p>
        </w:tc>
        <w:tc>
          <w:tcPr>
            <w:tcW w:w="1276" w:type="dxa"/>
          </w:tcPr>
          <w:p w:rsidR="00D17DEF" w:rsidRDefault="00D17DEF" w:rsidP="00755DE7">
            <w:pPr>
              <w:jc w:val="center"/>
            </w:pPr>
            <w:r>
              <w:t>0,194</w:t>
            </w:r>
          </w:p>
        </w:tc>
        <w:tc>
          <w:tcPr>
            <w:tcW w:w="1276" w:type="dxa"/>
          </w:tcPr>
          <w:p w:rsidR="00D17DEF" w:rsidRDefault="00D17DEF" w:rsidP="00755DE7">
            <w:pPr>
              <w:jc w:val="center"/>
            </w:pPr>
            <w:r>
              <w:t>0,194</w:t>
            </w:r>
          </w:p>
        </w:tc>
      </w:tr>
    </w:tbl>
    <w:p w:rsidR="00336F97" w:rsidRDefault="00336F97" w:rsidP="00896846">
      <w:pPr>
        <w:rPr>
          <w:b/>
        </w:rPr>
      </w:pPr>
    </w:p>
    <w:p w:rsidR="00F63E97" w:rsidRPr="0051503D" w:rsidRDefault="00F63E97" w:rsidP="0051503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03D">
        <w:rPr>
          <w:rFonts w:ascii="Times New Roman" w:hAnsi="Times New Roman" w:cs="Times New Roman"/>
          <w:sz w:val="24"/>
          <w:szCs w:val="24"/>
        </w:rPr>
        <w:lastRenderedPageBreak/>
        <w:t>Потребление тепловой энергии</w:t>
      </w:r>
      <w:r w:rsidR="00336F97" w:rsidRPr="0051503D">
        <w:rPr>
          <w:rFonts w:ascii="Times New Roman" w:hAnsi="Times New Roman" w:cs="Times New Roman"/>
          <w:sz w:val="24"/>
          <w:szCs w:val="24"/>
        </w:rPr>
        <w:t xml:space="preserve"> бюджетными учреждениями</w:t>
      </w:r>
      <w:r w:rsidR="006A56F0" w:rsidRPr="0051503D">
        <w:rPr>
          <w:rFonts w:ascii="Times New Roman" w:hAnsi="Times New Roman" w:cs="Times New Roman"/>
          <w:sz w:val="24"/>
          <w:szCs w:val="24"/>
        </w:rPr>
        <w:t xml:space="preserve"> на 1 кв. метр общей площади, занимаемых</w:t>
      </w:r>
      <w:r w:rsidR="0051503D">
        <w:rPr>
          <w:rFonts w:ascii="Times New Roman" w:hAnsi="Times New Roman" w:cs="Times New Roman"/>
          <w:sz w:val="24"/>
          <w:szCs w:val="24"/>
        </w:rPr>
        <w:t xml:space="preserve"> бюджетными учреждениями </w:t>
      </w:r>
      <w:r w:rsidR="00D17DEF" w:rsidRPr="0051503D">
        <w:rPr>
          <w:rFonts w:ascii="Times New Roman" w:hAnsi="Times New Roman" w:cs="Times New Roman"/>
          <w:sz w:val="24"/>
          <w:szCs w:val="24"/>
        </w:rPr>
        <w:t xml:space="preserve"> в 2019</w:t>
      </w:r>
      <w:r w:rsidRPr="0051503D">
        <w:rPr>
          <w:rFonts w:ascii="Times New Roman" w:hAnsi="Times New Roman" w:cs="Times New Roman"/>
          <w:sz w:val="24"/>
          <w:szCs w:val="24"/>
        </w:rPr>
        <w:t xml:space="preserve"> го</w:t>
      </w:r>
      <w:r w:rsidR="00666CD6" w:rsidRPr="0051503D">
        <w:rPr>
          <w:rFonts w:ascii="Times New Roman" w:hAnsi="Times New Roman" w:cs="Times New Roman"/>
          <w:sz w:val="24"/>
          <w:szCs w:val="24"/>
        </w:rPr>
        <w:t>ду</w:t>
      </w:r>
      <w:r w:rsidR="00D17DEF" w:rsidRPr="0051503D">
        <w:rPr>
          <w:rFonts w:ascii="Times New Roman" w:hAnsi="Times New Roman" w:cs="Times New Roman"/>
          <w:sz w:val="24"/>
          <w:szCs w:val="24"/>
        </w:rPr>
        <w:t xml:space="preserve"> снизилось к уровню 2018 года на 7,6% до 0,194 Гкал</w:t>
      </w:r>
      <w:r w:rsidRPr="0051503D">
        <w:rPr>
          <w:rFonts w:ascii="Times New Roman" w:hAnsi="Times New Roman" w:cs="Times New Roman"/>
          <w:sz w:val="24"/>
          <w:szCs w:val="24"/>
        </w:rPr>
        <w:t xml:space="preserve"> </w:t>
      </w:r>
      <w:r w:rsidR="0051503D" w:rsidRPr="0051503D">
        <w:rPr>
          <w:rFonts w:ascii="Times New Roman" w:hAnsi="Times New Roman" w:cs="Times New Roman"/>
          <w:sz w:val="24"/>
          <w:szCs w:val="24"/>
        </w:rPr>
        <w:t>за счет снижения</w:t>
      </w:r>
      <w:r w:rsidR="00336F97" w:rsidRPr="0051503D">
        <w:rPr>
          <w:rFonts w:ascii="Times New Roman" w:hAnsi="Times New Roman" w:cs="Times New Roman"/>
          <w:sz w:val="24"/>
          <w:szCs w:val="24"/>
        </w:rPr>
        <w:t xml:space="preserve"> </w:t>
      </w:r>
      <w:r w:rsidR="00272D2D" w:rsidRPr="0051503D">
        <w:rPr>
          <w:rFonts w:ascii="Times New Roman" w:hAnsi="Times New Roman" w:cs="Times New Roman"/>
          <w:sz w:val="24"/>
          <w:szCs w:val="24"/>
        </w:rPr>
        <w:t>потребления тепловой энергии</w:t>
      </w:r>
      <w:r w:rsidR="0051503D" w:rsidRPr="0051503D">
        <w:rPr>
          <w:rFonts w:ascii="Times New Roman" w:hAnsi="Times New Roman" w:cs="Times New Roman"/>
          <w:sz w:val="24"/>
          <w:szCs w:val="24"/>
        </w:rPr>
        <w:t xml:space="preserve"> на 491,23 Гкал или 6,8 % .</w:t>
      </w:r>
      <w:r w:rsidR="00272D2D" w:rsidRPr="0051503D">
        <w:rPr>
          <w:rFonts w:ascii="Times New Roman" w:hAnsi="Times New Roman" w:cs="Times New Roman"/>
          <w:sz w:val="24"/>
          <w:szCs w:val="24"/>
        </w:rPr>
        <w:t xml:space="preserve"> </w:t>
      </w:r>
      <w:r w:rsidR="00336F97" w:rsidRPr="0051503D">
        <w:rPr>
          <w:rFonts w:ascii="Times New Roman" w:hAnsi="Times New Roman" w:cs="Times New Roman"/>
          <w:sz w:val="24"/>
          <w:szCs w:val="24"/>
        </w:rPr>
        <w:t>В плановый период</w:t>
      </w:r>
      <w:r w:rsidRPr="0051503D">
        <w:rPr>
          <w:rFonts w:ascii="Times New Roman" w:hAnsi="Times New Roman" w:cs="Times New Roman"/>
          <w:sz w:val="24"/>
          <w:szCs w:val="24"/>
        </w:rPr>
        <w:t xml:space="preserve"> потребление тепл</w:t>
      </w:r>
      <w:r w:rsidR="00422DE6" w:rsidRPr="0051503D">
        <w:rPr>
          <w:rFonts w:ascii="Times New Roman" w:hAnsi="Times New Roman" w:cs="Times New Roman"/>
          <w:sz w:val="24"/>
          <w:szCs w:val="24"/>
        </w:rPr>
        <w:t>овой энергии</w:t>
      </w:r>
      <w:r w:rsidR="0051503D" w:rsidRPr="0051503D">
        <w:rPr>
          <w:rFonts w:ascii="Times New Roman" w:hAnsi="Times New Roman" w:cs="Times New Roman"/>
          <w:sz w:val="24"/>
          <w:szCs w:val="24"/>
        </w:rPr>
        <w:t xml:space="preserve"> останется на уровне 2019</w:t>
      </w:r>
      <w:r w:rsidR="00912C7C" w:rsidRPr="0051503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36F97" w:rsidRPr="0051503D">
        <w:rPr>
          <w:rFonts w:ascii="Times New Roman" w:hAnsi="Times New Roman" w:cs="Times New Roman"/>
          <w:sz w:val="24"/>
          <w:szCs w:val="24"/>
        </w:rPr>
        <w:t>.</w:t>
      </w:r>
    </w:p>
    <w:p w:rsidR="00896846" w:rsidRDefault="00896846" w:rsidP="00896846"/>
    <w:p w:rsidR="00896846" w:rsidRDefault="00F63E97" w:rsidP="00896846">
      <w:pPr>
        <w:rPr>
          <w:b/>
        </w:rPr>
      </w:pPr>
      <w:r>
        <w:t>Показатель № 40</w:t>
      </w:r>
      <w:r w:rsidR="00896846">
        <w:t xml:space="preserve">в. </w:t>
      </w:r>
      <w:r w:rsidR="00896846">
        <w:rPr>
          <w:b/>
        </w:rPr>
        <w:t>горячая вода:</w:t>
      </w:r>
    </w:p>
    <w:p w:rsidR="00896846" w:rsidRDefault="00896846" w:rsidP="00896846">
      <w:pPr>
        <w:ind w:firstLine="708"/>
        <w:jc w:val="both"/>
      </w:pPr>
      <w:r>
        <w:t>Услуга по горячему водоснабжению не оказывается.</w:t>
      </w:r>
    </w:p>
    <w:p w:rsidR="00896846" w:rsidRDefault="00896846" w:rsidP="00896846"/>
    <w:p w:rsidR="00896846" w:rsidRDefault="00896846" w:rsidP="00896846">
      <w:pPr>
        <w:rPr>
          <w:b/>
        </w:rPr>
      </w:pPr>
      <w:r>
        <w:t>Показа</w:t>
      </w:r>
      <w:r w:rsidR="00F63E97">
        <w:t>тель № 40</w:t>
      </w:r>
      <w:r>
        <w:t xml:space="preserve"> г. </w:t>
      </w:r>
      <w:r>
        <w:rPr>
          <w:b/>
        </w:rPr>
        <w:t>холодная вода: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E7483E" w:rsidTr="00BC651A">
        <w:tc>
          <w:tcPr>
            <w:tcW w:w="5535" w:type="dxa"/>
            <w:gridSpan w:val="5"/>
          </w:tcPr>
          <w:p w:rsidR="00E7483E" w:rsidRDefault="00E7483E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E7483E" w:rsidRDefault="00E7483E" w:rsidP="00755DE7">
            <w:pPr>
              <w:jc w:val="center"/>
            </w:pPr>
            <w:r>
              <w:t>Плановые значения</w:t>
            </w:r>
          </w:p>
        </w:tc>
      </w:tr>
      <w:tr w:rsidR="00E7483E" w:rsidTr="00BC651A">
        <w:tc>
          <w:tcPr>
            <w:tcW w:w="1107" w:type="dxa"/>
          </w:tcPr>
          <w:p w:rsidR="00E7483E" w:rsidRDefault="00E7483E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E7483E" w:rsidRDefault="0051503D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E7483E" w:rsidRDefault="0051503D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E7483E" w:rsidRDefault="0051503D" w:rsidP="00755DE7">
            <w:pPr>
              <w:jc w:val="center"/>
            </w:pPr>
            <w:r>
              <w:t>2022</w:t>
            </w:r>
          </w:p>
        </w:tc>
      </w:tr>
      <w:tr w:rsidR="00E7483E" w:rsidTr="00BC651A">
        <w:tc>
          <w:tcPr>
            <w:tcW w:w="1107" w:type="dxa"/>
          </w:tcPr>
          <w:p w:rsidR="00E7483E" w:rsidRDefault="00E7483E" w:rsidP="002D2206">
            <w:pPr>
              <w:jc w:val="center"/>
            </w:pPr>
            <w:r>
              <w:t>1,17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1,25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1,20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1,21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1,26</w:t>
            </w:r>
          </w:p>
        </w:tc>
        <w:tc>
          <w:tcPr>
            <w:tcW w:w="1107" w:type="dxa"/>
          </w:tcPr>
          <w:p w:rsidR="00E7483E" w:rsidRDefault="00E7483E" w:rsidP="00755DE7">
            <w:pPr>
              <w:jc w:val="center"/>
            </w:pPr>
            <w:r>
              <w:t>1,28</w:t>
            </w:r>
          </w:p>
        </w:tc>
        <w:tc>
          <w:tcPr>
            <w:tcW w:w="1108" w:type="dxa"/>
          </w:tcPr>
          <w:p w:rsidR="00E7483E" w:rsidRDefault="00E7483E" w:rsidP="00755DE7">
            <w:pPr>
              <w:jc w:val="center"/>
            </w:pPr>
            <w:r>
              <w:t>1,29</w:t>
            </w:r>
          </w:p>
        </w:tc>
        <w:tc>
          <w:tcPr>
            <w:tcW w:w="1108" w:type="dxa"/>
          </w:tcPr>
          <w:p w:rsidR="00E7483E" w:rsidRDefault="00E7483E" w:rsidP="00755DE7">
            <w:pPr>
              <w:jc w:val="center"/>
            </w:pPr>
            <w:r>
              <w:t>1,31</w:t>
            </w:r>
          </w:p>
        </w:tc>
      </w:tr>
    </w:tbl>
    <w:p w:rsidR="00336F97" w:rsidRDefault="00336F97" w:rsidP="00896846">
      <w:pPr>
        <w:rPr>
          <w:b/>
        </w:rPr>
      </w:pPr>
    </w:p>
    <w:p w:rsidR="00F63E97" w:rsidRPr="004854AF" w:rsidRDefault="004854AF" w:rsidP="004854AF">
      <w:pPr>
        <w:ind w:firstLine="708"/>
        <w:jc w:val="both"/>
      </w:pPr>
      <w:r w:rsidRPr="004854AF">
        <w:t>Потребление холодной воды</w:t>
      </w:r>
      <w:r w:rsidR="00336F97">
        <w:t xml:space="preserve"> бюджетными учреждениями</w:t>
      </w:r>
      <w:r w:rsidRPr="004854AF">
        <w:t xml:space="preserve"> на 1 </w:t>
      </w:r>
      <w:r w:rsidR="00E7483E">
        <w:t>человека населения района в 2019</w:t>
      </w:r>
      <w:r w:rsidRPr="004854AF">
        <w:t xml:space="preserve"> году относительно уровня 201</w:t>
      </w:r>
      <w:r w:rsidR="00E7483E">
        <w:t>8</w:t>
      </w:r>
      <w:r w:rsidR="00336F97">
        <w:t xml:space="preserve"> года выросло</w:t>
      </w:r>
      <w:r w:rsidR="00C70F59">
        <w:t xml:space="preserve"> на 0,0</w:t>
      </w:r>
      <w:r w:rsidR="00E7483E">
        <w:t>5</w:t>
      </w:r>
      <w:r w:rsidR="00C70F59">
        <w:t xml:space="preserve"> куб. </w:t>
      </w:r>
      <w:r w:rsidR="00E7483E">
        <w:t>метр до 1,26</w:t>
      </w:r>
      <w:r>
        <w:t xml:space="preserve"> куб. м.</w:t>
      </w:r>
      <w:r w:rsidR="00336F97">
        <w:t xml:space="preserve"> при</w:t>
      </w:r>
      <w:r w:rsidR="001E3644">
        <w:t xml:space="preserve"> </w:t>
      </w:r>
      <w:r w:rsidR="00C70F59">
        <w:t>не</w:t>
      </w:r>
      <w:r w:rsidR="00336F97">
        <w:t>большом</w:t>
      </w:r>
      <w:r w:rsidR="00C70F59">
        <w:t xml:space="preserve"> снижения</w:t>
      </w:r>
      <w:r w:rsidR="001E3644">
        <w:t xml:space="preserve"> потребления воды </w:t>
      </w:r>
      <w:r w:rsidR="00E7483E">
        <w:t>(163</w:t>
      </w:r>
      <w:r w:rsidR="00336F97">
        <w:t xml:space="preserve"> куб.</w:t>
      </w:r>
      <w:r w:rsidR="00E7483E">
        <w:t xml:space="preserve"> </w:t>
      </w:r>
      <w:r w:rsidR="00336F97">
        <w:t>м.) и</w:t>
      </w:r>
      <w:r w:rsidR="00C70F59">
        <w:t xml:space="preserve"> одновременном снижении численности населения района</w:t>
      </w:r>
      <w:r w:rsidR="00E7483E">
        <w:t xml:space="preserve"> на 1,85</w:t>
      </w:r>
      <w:r w:rsidR="00336F97">
        <w:t>%</w:t>
      </w:r>
      <w:r w:rsidR="006A56F0">
        <w:t>.</w:t>
      </w:r>
      <w:r w:rsidRPr="004854AF">
        <w:t xml:space="preserve"> </w:t>
      </w:r>
      <w:r w:rsidR="006A56F0">
        <w:t xml:space="preserve"> </w:t>
      </w:r>
      <w:r w:rsidR="00E7483E">
        <w:t>В 2020-2022</w:t>
      </w:r>
      <w:r w:rsidRPr="004854AF">
        <w:t xml:space="preserve"> годах</w:t>
      </w:r>
      <w:r w:rsidR="00666CD6">
        <w:t xml:space="preserve"> потребление холодной воды </w:t>
      </w:r>
      <w:r w:rsidR="00336F97">
        <w:t>на 1 человека возрастает в результате ежегодного снижения</w:t>
      </w:r>
      <w:r w:rsidRPr="004854AF">
        <w:t xml:space="preserve"> чис</w:t>
      </w:r>
      <w:r w:rsidR="006A56F0">
        <w:t>ленности населения района</w:t>
      </w:r>
      <w:r w:rsidRPr="004854AF">
        <w:t>.</w:t>
      </w:r>
    </w:p>
    <w:p w:rsidR="00896846" w:rsidRDefault="00896846" w:rsidP="00896846"/>
    <w:p w:rsidR="00896846" w:rsidRDefault="00955538" w:rsidP="00896846">
      <w:pPr>
        <w:rPr>
          <w:b/>
        </w:rPr>
      </w:pPr>
      <w:r>
        <w:t>Показатель № 40</w:t>
      </w:r>
      <w:r w:rsidR="00896846">
        <w:t xml:space="preserve">д. </w:t>
      </w:r>
      <w:r w:rsidR="00896846">
        <w:rPr>
          <w:b/>
        </w:rPr>
        <w:t>природный газ:</w:t>
      </w:r>
    </w:p>
    <w:p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6D2182" w:rsidTr="00BC651A">
        <w:tc>
          <w:tcPr>
            <w:tcW w:w="5535" w:type="dxa"/>
            <w:gridSpan w:val="5"/>
          </w:tcPr>
          <w:p w:rsidR="006D2182" w:rsidRDefault="006D2182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:rsidR="006D2182" w:rsidRDefault="006D2182" w:rsidP="00755DE7">
            <w:pPr>
              <w:jc w:val="center"/>
            </w:pPr>
            <w:r>
              <w:t>Плановые значения</w:t>
            </w:r>
          </w:p>
        </w:tc>
      </w:tr>
      <w:tr w:rsidR="006D2182" w:rsidTr="00BC651A">
        <w:tc>
          <w:tcPr>
            <w:tcW w:w="1107" w:type="dxa"/>
          </w:tcPr>
          <w:p w:rsidR="006D2182" w:rsidRDefault="006D2182" w:rsidP="00755DE7">
            <w:pPr>
              <w:jc w:val="both"/>
            </w:pPr>
            <w:r>
              <w:t>2015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2016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2017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2018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2020</w:t>
            </w:r>
          </w:p>
        </w:tc>
        <w:tc>
          <w:tcPr>
            <w:tcW w:w="1108" w:type="dxa"/>
          </w:tcPr>
          <w:p w:rsidR="006D2182" w:rsidRDefault="006D2182" w:rsidP="00755DE7">
            <w:pPr>
              <w:jc w:val="center"/>
            </w:pPr>
            <w:r>
              <w:t>2021</w:t>
            </w:r>
          </w:p>
        </w:tc>
        <w:tc>
          <w:tcPr>
            <w:tcW w:w="1108" w:type="dxa"/>
          </w:tcPr>
          <w:p w:rsidR="006D2182" w:rsidRDefault="006D2182" w:rsidP="00755DE7">
            <w:pPr>
              <w:jc w:val="center"/>
            </w:pPr>
            <w:r>
              <w:t>2022</w:t>
            </w:r>
          </w:p>
        </w:tc>
      </w:tr>
      <w:tr w:rsidR="006D2182" w:rsidTr="00BC651A">
        <w:tc>
          <w:tcPr>
            <w:tcW w:w="1107" w:type="dxa"/>
          </w:tcPr>
          <w:p w:rsidR="006D2182" w:rsidRDefault="006D2182" w:rsidP="002D2206">
            <w:pPr>
              <w:jc w:val="center"/>
            </w:pPr>
            <w:r>
              <w:t>3,35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3,72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3,96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4,86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6,42</w:t>
            </w:r>
          </w:p>
        </w:tc>
        <w:tc>
          <w:tcPr>
            <w:tcW w:w="1107" w:type="dxa"/>
          </w:tcPr>
          <w:p w:rsidR="006D2182" w:rsidRDefault="006D2182" w:rsidP="00755DE7">
            <w:pPr>
              <w:jc w:val="center"/>
            </w:pPr>
            <w:r>
              <w:t>7,09</w:t>
            </w:r>
          </w:p>
        </w:tc>
        <w:tc>
          <w:tcPr>
            <w:tcW w:w="1108" w:type="dxa"/>
          </w:tcPr>
          <w:p w:rsidR="006D2182" w:rsidRDefault="006D2182" w:rsidP="00755DE7">
            <w:pPr>
              <w:jc w:val="center"/>
            </w:pPr>
            <w:r>
              <w:t>12,43</w:t>
            </w:r>
          </w:p>
        </w:tc>
        <w:tc>
          <w:tcPr>
            <w:tcW w:w="1108" w:type="dxa"/>
          </w:tcPr>
          <w:p w:rsidR="006D2182" w:rsidRDefault="006D2182" w:rsidP="00755DE7">
            <w:pPr>
              <w:jc w:val="center"/>
            </w:pPr>
            <w:r>
              <w:t>12,57</w:t>
            </w:r>
          </w:p>
        </w:tc>
      </w:tr>
    </w:tbl>
    <w:p w:rsidR="00336F97" w:rsidRDefault="00336F97" w:rsidP="00896846">
      <w:pPr>
        <w:rPr>
          <w:b/>
        </w:rPr>
      </w:pPr>
    </w:p>
    <w:p w:rsidR="00896846" w:rsidRPr="00E7483E" w:rsidRDefault="006D2182" w:rsidP="004854AF">
      <w:pPr>
        <w:ind w:firstLine="708"/>
        <w:jc w:val="both"/>
      </w:pPr>
      <w:r>
        <w:t>Природным газом отапливаются здания</w:t>
      </w:r>
      <w:r w:rsidR="004854AF" w:rsidRPr="004854AF">
        <w:t xml:space="preserve"> Крас</w:t>
      </w:r>
      <w:r w:rsidR="007D4A58">
        <w:t>ногорского детского дома</w:t>
      </w:r>
      <w:r>
        <w:t xml:space="preserve"> и </w:t>
      </w:r>
      <w:proofErr w:type="spellStart"/>
      <w:r>
        <w:t>Багырского</w:t>
      </w:r>
      <w:proofErr w:type="spellEnd"/>
      <w:r>
        <w:t xml:space="preserve"> детского сада</w:t>
      </w:r>
      <w:r w:rsidR="007D4A58">
        <w:t>.</w:t>
      </w:r>
      <w:r w:rsidR="00E7483E">
        <w:t xml:space="preserve"> </w:t>
      </w:r>
      <w:r w:rsidR="00E7483E" w:rsidRPr="00E7483E">
        <w:t>Потребл</w:t>
      </w:r>
      <w:r w:rsidR="00E7483E">
        <w:t>ение природного газа</w:t>
      </w:r>
      <w:r w:rsidR="00E7483E" w:rsidRPr="00E7483E">
        <w:t xml:space="preserve">  возрастет за счет ввода в эксплуатацию летом</w:t>
      </w:r>
      <w:r w:rsidR="00E7483E">
        <w:t xml:space="preserve"> 2020 года</w:t>
      </w:r>
      <w:r w:rsidR="00E7483E" w:rsidRPr="00E7483E">
        <w:t xml:space="preserve"> здания физкультурно-оздоровительного комплекса (ФОК) с одновременным исключением потребления по Детскому дому. В 2021-2022 годах рост потребления природного газа произойдет  в результате от</w:t>
      </w:r>
      <w:r w:rsidR="00E7483E">
        <w:t>о</w:t>
      </w:r>
      <w:r w:rsidR="00E7483E" w:rsidRPr="00E7483E">
        <w:t>пления за полный год по зданию ФОК в с. Красногорское.</w:t>
      </w:r>
      <w:r w:rsidR="007D4A58" w:rsidRPr="00E7483E">
        <w:t xml:space="preserve"> </w:t>
      </w:r>
      <w:r w:rsidR="00E7483E" w:rsidRPr="00E7483E">
        <w:t>Потребление природного газа на 1 жителя района в 2019году</w:t>
      </w:r>
      <w:r w:rsidR="00E7483E">
        <w:t xml:space="preserve"> составило 6,42  куб. м. и </w:t>
      </w:r>
      <w:r w:rsidR="00E7483E" w:rsidRPr="00E7483E">
        <w:t xml:space="preserve"> увеличилось к  2018 году на 32,1</w:t>
      </w:r>
      <w:r w:rsidR="00E7483E">
        <w:t xml:space="preserve"> % за счет роста</w:t>
      </w:r>
      <w:r w:rsidR="00E7483E" w:rsidRPr="00E7483E">
        <w:t xml:space="preserve"> потребления  природного газа на 29,6 %  и одновременном снижении среднегодовой численности населения района а на 1,85 %. В 2020-2022 годах потребление природного газа в расчете на 1 человека населения возрастет к уровню 2019 года на 10,4-93,6 -95.8 % ввиду ввода в эксплуатацию</w:t>
      </w:r>
      <w:r w:rsidR="00E7483E">
        <w:t xml:space="preserve"> здания</w:t>
      </w:r>
      <w:r w:rsidR="00E7483E" w:rsidRPr="00E7483E">
        <w:t xml:space="preserve"> физкультурно-оздоровительного комплекса и ежегодного снижения численности населения района.</w:t>
      </w:r>
    </w:p>
    <w:p w:rsidR="00896846" w:rsidRDefault="00896846" w:rsidP="00896846">
      <w:pPr>
        <w:jc w:val="both"/>
        <w:rPr>
          <w:b/>
        </w:rPr>
      </w:pPr>
    </w:p>
    <w:p w:rsidR="005F376B" w:rsidRPr="007D4A58" w:rsidRDefault="007D4A58" w:rsidP="00896846">
      <w:pPr>
        <w:jc w:val="both"/>
      </w:pPr>
      <w:r w:rsidRPr="007D4A58">
        <w:t>Показатель 41.</w:t>
      </w:r>
    </w:p>
    <w:p w:rsidR="005F376B" w:rsidRDefault="005F376B" w:rsidP="00896846">
      <w:pPr>
        <w:jc w:val="both"/>
        <w:rPr>
          <w:b/>
        </w:rPr>
      </w:pPr>
      <w:r>
        <w:rPr>
          <w:b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муниципальных образований и оказывающими услуги в указанных сферах за счет бюджетных ассигнований бюджетов муниципальных образований:</w:t>
      </w:r>
    </w:p>
    <w:p w:rsidR="005F376B" w:rsidRDefault="005F376B" w:rsidP="00896846">
      <w:pPr>
        <w:jc w:val="both"/>
        <w:rPr>
          <w:b/>
        </w:rPr>
      </w:pPr>
    </w:p>
    <w:p w:rsidR="00F05715" w:rsidRDefault="00F05715" w:rsidP="00F05715">
      <w:pPr>
        <w:jc w:val="both"/>
      </w:pPr>
      <w:r>
        <w:t>-Средний б</w:t>
      </w:r>
      <w:r w:rsidR="0014083C">
        <w:t>алл за 2019 год по Красногорскому району составил – 80,69</w:t>
      </w:r>
      <w:r>
        <w:t>.</w:t>
      </w:r>
    </w:p>
    <w:p w:rsidR="00F05715" w:rsidRDefault="00F05715" w:rsidP="00F05715">
      <w:pPr>
        <w:jc w:val="both"/>
      </w:pPr>
      <w:r>
        <w:t>Среди муниципальных районов удмуртской Республики Кра</w:t>
      </w:r>
      <w:r w:rsidR="0014083C">
        <w:t>сногорский район находится на 17</w:t>
      </w:r>
      <w:r>
        <w:t xml:space="preserve"> месте. </w:t>
      </w:r>
      <w:r w:rsidRPr="00F05715">
        <w:t>Средний балл  по Удму</w:t>
      </w:r>
      <w:r w:rsidR="0014083C">
        <w:t>ртской Республике составил 83,24</w:t>
      </w:r>
      <w:r w:rsidRPr="00F05715">
        <w:t xml:space="preserve">. Таким образом, показатель независимой оценки качества </w:t>
      </w:r>
      <w:r w:rsidR="0014083C">
        <w:t xml:space="preserve">в </w:t>
      </w:r>
      <w:r w:rsidR="0014083C" w:rsidRPr="0014083C">
        <w:t>сферах культуры, охраны здоровья, образования, социального обслуживания</w:t>
      </w:r>
      <w:r w:rsidR="006D2182">
        <w:t xml:space="preserve"> за 2019 </w:t>
      </w:r>
      <w:r w:rsidR="0014083C">
        <w:t>год ниже</w:t>
      </w:r>
      <w:r w:rsidRPr="00F05715">
        <w:t xml:space="preserve"> среднереспубликанского значения на</w:t>
      </w:r>
      <w:r w:rsidR="0014083C">
        <w:t xml:space="preserve"> 2,55 </w:t>
      </w:r>
      <w:bookmarkStart w:id="0" w:name="_GoBack"/>
      <w:bookmarkEnd w:id="0"/>
      <w:r w:rsidRPr="00F05715">
        <w:t>процентных пункта.</w:t>
      </w:r>
      <w:r w:rsidR="00CC1F4F">
        <w:t xml:space="preserve"> </w:t>
      </w:r>
    </w:p>
    <w:p w:rsidR="00F05715" w:rsidRDefault="00F05715" w:rsidP="00F05715">
      <w:pPr>
        <w:jc w:val="both"/>
        <w:rPr>
          <w:b/>
        </w:rPr>
      </w:pPr>
    </w:p>
    <w:p w:rsidR="002003EF" w:rsidRPr="00BF43FE" w:rsidRDefault="002003EF" w:rsidP="002003EF">
      <w:pPr>
        <w:jc w:val="both"/>
        <w:rPr>
          <w:i/>
        </w:rPr>
      </w:pPr>
    </w:p>
    <w:p w:rsidR="002003EF" w:rsidRPr="00BF43FE" w:rsidRDefault="002003EF" w:rsidP="002003EF">
      <w:pPr>
        <w:jc w:val="both"/>
        <w:rPr>
          <w:i/>
        </w:rPr>
      </w:pPr>
    </w:p>
    <w:p w:rsidR="00896846" w:rsidRDefault="00896846" w:rsidP="00896846">
      <w:pPr>
        <w:rPr>
          <w:b/>
        </w:rPr>
      </w:pPr>
    </w:p>
    <w:p w:rsidR="0069192E" w:rsidRDefault="0069192E"/>
    <w:sectPr w:rsidR="0069192E" w:rsidSect="00896846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09B7"/>
    <w:multiLevelType w:val="hybridMultilevel"/>
    <w:tmpl w:val="E51040A6"/>
    <w:lvl w:ilvl="0" w:tplc="2550E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D3"/>
    <w:rsid w:val="00001F94"/>
    <w:rsid w:val="00002AD9"/>
    <w:rsid w:val="00011177"/>
    <w:rsid w:val="0001387E"/>
    <w:rsid w:val="00017AFD"/>
    <w:rsid w:val="00022345"/>
    <w:rsid w:val="000329D4"/>
    <w:rsid w:val="00032BCA"/>
    <w:rsid w:val="00033164"/>
    <w:rsid w:val="00034740"/>
    <w:rsid w:val="000352AE"/>
    <w:rsid w:val="00035AFA"/>
    <w:rsid w:val="00040810"/>
    <w:rsid w:val="000410CE"/>
    <w:rsid w:val="000439F4"/>
    <w:rsid w:val="000442D0"/>
    <w:rsid w:val="00044D56"/>
    <w:rsid w:val="00045005"/>
    <w:rsid w:val="000540E2"/>
    <w:rsid w:val="00060340"/>
    <w:rsid w:val="00061F81"/>
    <w:rsid w:val="000639DB"/>
    <w:rsid w:val="00065B0A"/>
    <w:rsid w:val="0007555E"/>
    <w:rsid w:val="00094192"/>
    <w:rsid w:val="00094EA4"/>
    <w:rsid w:val="000A11CC"/>
    <w:rsid w:val="000A41BC"/>
    <w:rsid w:val="000A4E96"/>
    <w:rsid w:val="000A69CC"/>
    <w:rsid w:val="000A6E5C"/>
    <w:rsid w:val="000B54B5"/>
    <w:rsid w:val="000B5CEE"/>
    <w:rsid w:val="000C0496"/>
    <w:rsid w:val="000C1F14"/>
    <w:rsid w:val="000D0B9B"/>
    <w:rsid w:val="000D43A3"/>
    <w:rsid w:val="000E02B6"/>
    <w:rsid w:val="000E2E69"/>
    <w:rsid w:val="000F27E5"/>
    <w:rsid w:val="000F2E41"/>
    <w:rsid w:val="000F3440"/>
    <w:rsid w:val="000F7289"/>
    <w:rsid w:val="001012C7"/>
    <w:rsid w:val="00106387"/>
    <w:rsid w:val="00106EEF"/>
    <w:rsid w:val="00111262"/>
    <w:rsid w:val="001301D9"/>
    <w:rsid w:val="00130D6E"/>
    <w:rsid w:val="0014083C"/>
    <w:rsid w:val="00143879"/>
    <w:rsid w:val="00153602"/>
    <w:rsid w:val="00155EC4"/>
    <w:rsid w:val="0017088B"/>
    <w:rsid w:val="00171A0A"/>
    <w:rsid w:val="00171FD4"/>
    <w:rsid w:val="00172165"/>
    <w:rsid w:val="00175544"/>
    <w:rsid w:val="0017722E"/>
    <w:rsid w:val="001879E2"/>
    <w:rsid w:val="001A52A3"/>
    <w:rsid w:val="001A6540"/>
    <w:rsid w:val="001B1DA9"/>
    <w:rsid w:val="001E3644"/>
    <w:rsid w:val="001F0BCE"/>
    <w:rsid w:val="001F5365"/>
    <w:rsid w:val="0020010B"/>
    <w:rsid w:val="002003EF"/>
    <w:rsid w:val="00210368"/>
    <w:rsid w:val="00210722"/>
    <w:rsid w:val="00211C95"/>
    <w:rsid w:val="002137D2"/>
    <w:rsid w:val="002347C6"/>
    <w:rsid w:val="002373FB"/>
    <w:rsid w:val="002435FD"/>
    <w:rsid w:val="00257D7F"/>
    <w:rsid w:val="00272D2D"/>
    <w:rsid w:val="0027417C"/>
    <w:rsid w:val="00275B6D"/>
    <w:rsid w:val="0028017C"/>
    <w:rsid w:val="0028162B"/>
    <w:rsid w:val="002A175B"/>
    <w:rsid w:val="002B3FE6"/>
    <w:rsid w:val="002B4EE7"/>
    <w:rsid w:val="002C2758"/>
    <w:rsid w:val="002C5735"/>
    <w:rsid w:val="002C5D23"/>
    <w:rsid w:val="002C6350"/>
    <w:rsid w:val="002D2206"/>
    <w:rsid w:val="002D55D0"/>
    <w:rsid w:val="002D6BAF"/>
    <w:rsid w:val="002E45B0"/>
    <w:rsid w:val="002F0495"/>
    <w:rsid w:val="002F32A7"/>
    <w:rsid w:val="002F75AA"/>
    <w:rsid w:val="00304F45"/>
    <w:rsid w:val="00310076"/>
    <w:rsid w:val="00311EB6"/>
    <w:rsid w:val="00313F35"/>
    <w:rsid w:val="00317911"/>
    <w:rsid w:val="00326CDD"/>
    <w:rsid w:val="00334BD9"/>
    <w:rsid w:val="00336F97"/>
    <w:rsid w:val="0034191D"/>
    <w:rsid w:val="00343528"/>
    <w:rsid w:val="00344CA3"/>
    <w:rsid w:val="00344D95"/>
    <w:rsid w:val="00350B3E"/>
    <w:rsid w:val="00361552"/>
    <w:rsid w:val="00364DD5"/>
    <w:rsid w:val="00365AE6"/>
    <w:rsid w:val="0036723C"/>
    <w:rsid w:val="00372793"/>
    <w:rsid w:val="003764F4"/>
    <w:rsid w:val="00381A76"/>
    <w:rsid w:val="00384CC6"/>
    <w:rsid w:val="003920AC"/>
    <w:rsid w:val="003A0B16"/>
    <w:rsid w:val="003A2B5F"/>
    <w:rsid w:val="003D08E4"/>
    <w:rsid w:val="003D7EAE"/>
    <w:rsid w:val="003E6A88"/>
    <w:rsid w:val="003F7187"/>
    <w:rsid w:val="00401222"/>
    <w:rsid w:val="004028DD"/>
    <w:rsid w:val="00410912"/>
    <w:rsid w:val="00414C2B"/>
    <w:rsid w:val="00422DE6"/>
    <w:rsid w:val="004245C5"/>
    <w:rsid w:val="00424EEB"/>
    <w:rsid w:val="00425611"/>
    <w:rsid w:val="00431307"/>
    <w:rsid w:val="00433F10"/>
    <w:rsid w:val="004412C4"/>
    <w:rsid w:val="00443D78"/>
    <w:rsid w:val="004445A9"/>
    <w:rsid w:val="00446EE3"/>
    <w:rsid w:val="00453F77"/>
    <w:rsid w:val="0046015F"/>
    <w:rsid w:val="00470F06"/>
    <w:rsid w:val="00471BE7"/>
    <w:rsid w:val="00480DCF"/>
    <w:rsid w:val="004854AF"/>
    <w:rsid w:val="00496906"/>
    <w:rsid w:val="00497FB5"/>
    <w:rsid w:val="004A3E6A"/>
    <w:rsid w:val="004C16D9"/>
    <w:rsid w:val="004C5623"/>
    <w:rsid w:val="004C69A3"/>
    <w:rsid w:val="004C7D2F"/>
    <w:rsid w:val="004D0E58"/>
    <w:rsid w:val="004D5259"/>
    <w:rsid w:val="004E29AE"/>
    <w:rsid w:val="004E3230"/>
    <w:rsid w:val="004E43D0"/>
    <w:rsid w:val="004F1CE8"/>
    <w:rsid w:val="004F44BA"/>
    <w:rsid w:val="004F5797"/>
    <w:rsid w:val="0050688D"/>
    <w:rsid w:val="00507E13"/>
    <w:rsid w:val="0051503D"/>
    <w:rsid w:val="00515B9F"/>
    <w:rsid w:val="00517A59"/>
    <w:rsid w:val="005252B1"/>
    <w:rsid w:val="00536B7A"/>
    <w:rsid w:val="00543DE7"/>
    <w:rsid w:val="00547643"/>
    <w:rsid w:val="005541B9"/>
    <w:rsid w:val="00566224"/>
    <w:rsid w:val="005679DD"/>
    <w:rsid w:val="005717C7"/>
    <w:rsid w:val="005719F5"/>
    <w:rsid w:val="00574C50"/>
    <w:rsid w:val="0057548E"/>
    <w:rsid w:val="00576292"/>
    <w:rsid w:val="00577819"/>
    <w:rsid w:val="005812DF"/>
    <w:rsid w:val="005822F7"/>
    <w:rsid w:val="005918A3"/>
    <w:rsid w:val="00597034"/>
    <w:rsid w:val="00597D78"/>
    <w:rsid w:val="005A7A6D"/>
    <w:rsid w:val="005B5C7C"/>
    <w:rsid w:val="005B6561"/>
    <w:rsid w:val="005C1E07"/>
    <w:rsid w:val="005C29E0"/>
    <w:rsid w:val="005C3C82"/>
    <w:rsid w:val="005D0138"/>
    <w:rsid w:val="005D09A8"/>
    <w:rsid w:val="005D18AC"/>
    <w:rsid w:val="005D2231"/>
    <w:rsid w:val="005E00AA"/>
    <w:rsid w:val="005E06A3"/>
    <w:rsid w:val="005E5031"/>
    <w:rsid w:val="005F0319"/>
    <w:rsid w:val="005F2F21"/>
    <w:rsid w:val="005F33A6"/>
    <w:rsid w:val="005F376B"/>
    <w:rsid w:val="0060007B"/>
    <w:rsid w:val="0060354A"/>
    <w:rsid w:val="00604CEE"/>
    <w:rsid w:val="00606220"/>
    <w:rsid w:val="0060644B"/>
    <w:rsid w:val="00620D22"/>
    <w:rsid w:val="00636099"/>
    <w:rsid w:val="00662608"/>
    <w:rsid w:val="00662DA8"/>
    <w:rsid w:val="00666CD6"/>
    <w:rsid w:val="00667E04"/>
    <w:rsid w:val="0069192E"/>
    <w:rsid w:val="006A08EA"/>
    <w:rsid w:val="006A26E2"/>
    <w:rsid w:val="006A3521"/>
    <w:rsid w:val="006A3D66"/>
    <w:rsid w:val="006A56F0"/>
    <w:rsid w:val="006A6B85"/>
    <w:rsid w:val="006D2182"/>
    <w:rsid w:val="006D4525"/>
    <w:rsid w:val="006E330F"/>
    <w:rsid w:val="006E4FAA"/>
    <w:rsid w:val="006E730F"/>
    <w:rsid w:val="0071404F"/>
    <w:rsid w:val="00727397"/>
    <w:rsid w:val="00735609"/>
    <w:rsid w:val="00742155"/>
    <w:rsid w:val="00747EEE"/>
    <w:rsid w:val="00753EE3"/>
    <w:rsid w:val="00755DE7"/>
    <w:rsid w:val="00763A55"/>
    <w:rsid w:val="007654AC"/>
    <w:rsid w:val="007657C3"/>
    <w:rsid w:val="00766CE8"/>
    <w:rsid w:val="00773F20"/>
    <w:rsid w:val="00775956"/>
    <w:rsid w:val="007776A7"/>
    <w:rsid w:val="00781EF8"/>
    <w:rsid w:val="007826D3"/>
    <w:rsid w:val="00793440"/>
    <w:rsid w:val="007A51F7"/>
    <w:rsid w:val="007D4A58"/>
    <w:rsid w:val="007E1A65"/>
    <w:rsid w:val="007F6D4F"/>
    <w:rsid w:val="00804653"/>
    <w:rsid w:val="008057B3"/>
    <w:rsid w:val="00805BFE"/>
    <w:rsid w:val="00811D73"/>
    <w:rsid w:val="00821510"/>
    <w:rsid w:val="0082342A"/>
    <w:rsid w:val="00824B4D"/>
    <w:rsid w:val="00826F16"/>
    <w:rsid w:val="008445E8"/>
    <w:rsid w:val="008452BF"/>
    <w:rsid w:val="00855CB8"/>
    <w:rsid w:val="008623A0"/>
    <w:rsid w:val="00877842"/>
    <w:rsid w:val="0088010D"/>
    <w:rsid w:val="00880DB4"/>
    <w:rsid w:val="008827C3"/>
    <w:rsid w:val="00884FCE"/>
    <w:rsid w:val="00893453"/>
    <w:rsid w:val="00896846"/>
    <w:rsid w:val="008969B8"/>
    <w:rsid w:val="00897D83"/>
    <w:rsid w:val="008A56DE"/>
    <w:rsid w:val="008A62D5"/>
    <w:rsid w:val="008B0BC4"/>
    <w:rsid w:val="008B2442"/>
    <w:rsid w:val="008C69A6"/>
    <w:rsid w:val="008C6E14"/>
    <w:rsid w:val="008C76AA"/>
    <w:rsid w:val="008D7EFA"/>
    <w:rsid w:val="008F7CF2"/>
    <w:rsid w:val="00910DF1"/>
    <w:rsid w:val="00912616"/>
    <w:rsid w:val="00912C7C"/>
    <w:rsid w:val="00914038"/>
    <w:rsid w:val="00924B06"/>
    <w:rsid w:val="0092760B"/>
    <w:rsid w:val="00931168"/>
    <w:rsid w:val="00955538"/>
    <w:rsid w:val="00956F3E"/>
    <w:rsid w:val="00957E19"/>
    <w:rsid w:val="009615FE"/>
    <w:rsid w:val="00965F09"/>
    <w:rsid w:val="009661ED"/>
    <w:rsid w:val="009744C1"/>
    <w:rsid w:val="00981BF2"/>
    <w:rsid w:val="009830AF"/>
    <w:rsid w:val="00991DBA"/>
    <w:rsid w:val="009A3D43"/>
    <w:rsid w:val="009B40DC"/>
    <w:rsid w:val="009C2132"/>
    <w:rsid w:val="009C345A"/>
    <w:rsid w:val="009C3BE2"/>
    <w:rsid w:val="009C75A6"/>
    <w:rsid w:val="009E6AAB"/>
    <w:rsid w:val="009F6862"/>
    <w:rsid w:val="009F7EBF"/>
    <w:rsid w:val="00A0098D"/>
    <w:rsid w:val="00A01F6F"/>
    <w:rsid w:val="00A03B0F"/>
    <w:rsid w:val="00A044BB"/>
    <w:rsid w:val="00A31A5A"/>
    <w:rsid w:val="00A43D17"/>
    <w:rsid w:val="00A457C0"/>
    <w:rsid w:val="00A51822"/>
    <w:rsid w:val="00A53D0C"/>
    <w:rsid w:val="00A56EBA"/>
    <w:rsid w:val="00A573FF"/>
    <w:rsid w:val="00A578E2"/>
    <w:rsid w:val="00A64110"/>
    <w:rsid w:val="00A64B43"/>
    <w:rsid w:val="00A66D12"/>
    <w:rsid w:val="00A80417"/>
    <w:rsid w:val="00A81C1B"/>
    <w:rsid w:val="00A868DC"/>
    <w:rsid w:val="00A922A8"/>
    <w:rsid w:val="00AB0ECE"/>
    <w:rsid w:val="00AB393C"/>
    <w:rsid w:val="00AC3741"/>
    <w:rsid w:val="00AE3880"/>
    <w:rsid w:val="00AE7C2F"/>
    <w:rsid w:val="00AF1BBC"/>
    <w:rsid w:val="00AF68DA"/>
    <w:rsid w:val="00B05D67"/>
    <w:rsid w:val="00B16E26"/>
    <w:rsid w:val="00B22114"/>
    <w:rsid w:val="00B240C2"/>
    <w:rsid w:val="00B40BA9"/>
    <w:rsid w:val="00B42364"/>
    <w:rsid w:val="00B44189"/>
    <w:rsid w:val="00B44741"/>
    <w:rsid w:val="00B476A9"/>
    <w:rsid w:val="00B5344F"/>
    <w:rsid w:val="00B5785B"/>
    <w:rsid w:val="00B72FBA"/>
    <w:rsid w:val="00B80DA6"/>
    <w:rsid w:val="00B84483"/>
    <w:rsid w:val="00B85E57"/>
    <w:rsid w:val="00B85F7E"/>
    <w:rsid w:val="00B87F1F"/>
    <w:rsid w:val="00B90090"/>
    <w:rsid w:val="00B915D6"/>
    <w:rsid w:val="00B94B69"/>
    <w:rsid w:val="00BA0D7A"/>
    <w:rsid w:val="00BA2C1D"/>
    <w:rsid w:val="00BA4A10"/>
    <w:rsid w:val="00BA4C8E"/>
    <w:rsid w:val="00BB4879"/>
    <w:rsid w:val="00BB4BE3"/>
    <w:rsid w:val="00BB55B5"/>
    <w:rsid w:val="00BC0D7E"/>
    <w:rsid w:val="00BC6402"/>
    <w:rsid w:val="00BC651A"/>
    <w:rsid w:val="00BD576F"/>
    <w:rsid w:val="00BE36C3"/>
    <w:rsid w:val="00BE463F"/>
    <w:rsid w:val="00BF08B6"/>
    <w:rsid w:val="00BF0B2B"/>
    <w:rsid w:val="00BF1B9C"/>
    <w:rsid w:val="00BF43FE"/>
    <w:rsid w:val="00C0061B"/>
    <w:rsid w:val="00C01671"/>
    <w:rsid w:val="00C0244C"/>
    <w:rsid w:val="00C05FE3"/>
    <w:rsid w:val="00C2513C"/>
    <w:rsid w:val="00C30C0B"/>
    <w:rsid w:val="00C31688"/>
    <w:rsid w:val="00C329C8"/>
    <w:rsid w:val="00C32D2D"/>
    <w:rsid w:val="00C373F7"/>
    <w:rsid w:val="00C432A9"/>
    <w:rsid w:val="00C55587"/>
    <w:rsid w:val="00C6349C"/>
    <w:rsid w:val="00C70F59"/>
    <w:rsid w:val="00C74C33"/>
    <w:rsid w:val="00C802A7"/>
    <w:rsid w:val="00C83ADE"/>
    <w:rsid w:val="00C92F50"/>
    <w:rsid w:val="00C946BB"/>
    <w:rsid w:val="00CB5871"/>
    <w:rsid w:val="00CC1F4F"/>
    <w:rsid w:val="00CC5D7C"/>
    <w:rsid w:val="00CD5898"/>
    <w:rsid w:val="00CD7973"/>
    <w:rsid w:val="00CE07DB"/>
    <w:rsid w:val="00CE322A"/>
    <w:rsid w:val="00CE72D4"/>
    <w:rsid w:val="00CE78B8"/>
    <w:rsid w:val="00CF14CF"/>
    <w:rsid w:val="00D02CE0"/>
    <w:rsid w:val="00D15A3E"/>
    <w:rsid w:val="00D16ECB"/>
    <w:rsid w:val="00D17DEF"/>
    <w:rsid w:val="00D35154"/>
    <w:rsid w:val="00D4373C"/>
    <w:rsid w:val="00D47345"/>
    <w:rsid w:val="00D541DD"/>
    <w:rsid w:val="00D601D2"/>
    <w:rsid w:val="00D6639A"/>
    <w:rsid w:val="00D71E7C"/>
    <w:rsid w:val="00D72CF4"/>
    <w:rsid w:val="00D80742"/>
    <w:rsid w:val="00D95B5C"/>
    <w:rsid w:val="00DF4906"/>
    <w:rsid w:val="00E017B8"/>
    <w:rsid w:val="00E1516B"/>
    <w:rsid w:val="00E22330"/>
    <w:rsid w:val="00E24983"/>
    <w:rsid w:val="00E2723C"/>
    <w:rsid w:val="00E30AB6"/>
    <w:rsid w:val="00E323B2"/>
    <w:rsid w:val="00E3313F"/>
    <w:rsid w:val="00E36534"/>
    <w:rsid w:val="00E45D3A"/>
    <w:rsid w:val="00E47A4B"/>
    <w:rsid w:val="00E564CE"/>
    <w:rsid w:val="00E5670E"/>
    <w:rsid w:val="00E60F1D"/>
    <w:rsid w:val="00E654F2"/>
    <w:rsid w:val="00E708EE"/>
    <w:rsid w:val="00E7483E"/>
    <w:rsid w:val="00EC704C"/>
    <w:rsid w:val="00ED752B"/>
    <w:rsid w:val="00EE643C"/>
    <w:rsid w:val="00EF035E"/>
    <w:rsid w:val="00EF10BA"/>
    <w:rsid w:val="00EF72F5"/>
    <w:rsid w:val="00F034A5"/>
    <w:rsid w:val="00F05715"/>
    <w:rsid w:val="00F06262"/>
    <w:rsid w:val="00F06480"/>
    <w:rsid w:val="00F06EFE"/>
    <w:rsid w:val="00F23CE0"/>
    <w:rsid w:val="00F23DF0"/>
    <w:rsid w:val="00F37502"/>
    <w:rsid w:val="00F44EC4"/>
    <w:rsid w:val="00F57CEA"/>
    <w:rsid w:val="00F6010A"/>
    <w:rsid w:val="00F61CAD"/>
    <w:rsid w:val="00F63E97"/>
    <w:rsid w:val="00F66A41"/>
    <w:rsid w:val="00F67DC0"/>
    <w:rsid w:val="00F716AA"/>
    <w:rsid w:val="00F71D54"/>
    <w:rsid w:val="00F74400"/>
    <w:rsid w:val="00F927B7"/>
    <w:rsid w:val="00F93A61"/>
    <w:rsid w:val="00FA3975"/>
    <w:rsid w:val="00FA5E55"/>
    <w:rsid w:val="00FB2238"/>
    <w:rsid w:val="00FB5311"/>
    <w:rsid w:val="00FB6DDD"/>
    <w:rsid w:val="00FC3C68"/>
    <w:rsid w:val="00FE01D4"/>
    <w:rsid w:val="00FE2755"/>
    <w:rsid w:val="00FE5967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96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nhideWhenUsed/>
    <w:rsid w:val="00896846"/>
    <w:pPr>
      <w:suppressAutoHyphens w:val="0"/>
      <w:jc w:val="center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rsid w:val="008968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5"/>
    <w:semiHidden/>
    <w:unhideWhenUsed/>
    <w:rsid w:val="00896846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781EF8"/>
    <w:pPr>
      <w:ind w:left="720"/>
      <w:contextualSpacing/>
    </w:pPr>
  </w:style>
  <w:style w:type="paragraph" w:styleId="a8">
    <w:name w:val="No Spacing"/>
    <w:uiPriority w:val="1"/>
    <w:qFormat/>
    <w:rsid w:val="00957E19"/>
    <w:pPr>
      <w:spacing w:after="0" w:line="240" w:lineRule="auto"/>
    </w:pPr>
  </w:style>
  <w:style w:type="table" w:styleId="a9">
    <w:name w:val="Table Grid"/>
    <w:basedOn w:val="a1"/>
    <w:uiPriority w:val="59"/>
    <w:rsid w:val="00BF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5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D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96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nhideWhenUsed/>
    <w:rsid w:val="00896846"/>
    <w:pPr>
      <w:suppressAutoHyphens w:val="0"/>
      <w:jc w:val="center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rsid w:val="008968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5"/>
    <w:semiHidden/>
    <w:unhideWhenUsed/>
    <w:rsid w:val="00896846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781EF8"/>
    <w:pPr>
      <w:ind w:left="720"/>
      <w:contextualSpacing/>
    </w:pPr>
  </w:style>
  <w:style w:type="paragraph" w:styleId="a8">
    <w:name w:val="No Spacing"/>
    <w:uiPriority w:val="1"/>
    <w:qFormat/>
    <w:rsid w:val="00957E19"/>
    <w:pPr>
      <w:spacing w:after="0" w:line="240" w:lineRule="auto"/>
    </w:pPr>
  </w:style>
  <w:style w:type="table" w:styleId="a9">
    <w:name w:val="Table Grid"/>
    <w:basedOn w:val="a1"/>
    <w:uiPriority w:val="59"/>
    <w:rsid w:val="00BF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5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D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11536</Words>
  <Characters>65761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2019-04-30T04:37:00Z</cp:lastPrinted>
  <dcterms:created xsi:type="dcterms:W3CDTF">2020-04-10T12:29:00Z</dcterms:created>
  <dcterms:modified xsi:type="dcterms:W3CDTF">2020-04-29T06:41:00Z</dcterms:modified>
</cp:coreProperties>
</file>