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1459"/>
        <w:gridCol w:w="4183"/>
      </w:tblGrid>
      <w:tr w:rsidR="007617CD" w:rsidRPr="00DC1974" w14:paraId="045E1477" w14:textId="77777777" w:rsidTr="00D453EB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316FE" w14:textId="77777777" w:rsidR="007617CD" w:rsidRPr="00DC1974" w:rsidRDefault="007617CD" w:rsidP="00D453EB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765F899" w14:textId="77777777" w:rsidR="007617CD" w:rsidRPr="00DC1974" w:rsidRDefault="007617CD" w:rsidP="00D453EB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861E38">
              <w:rPr>
                <w:noProof/>
              </w:rPr>
              <w:drawing>
                <wp:inline distT="0" distB="0" distL="0" distR="0" wp14:anchorId="207EBFC3" wp14:editId="398F541D">
                  <wp:extent cx="695325" cy="628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ED5D5" w14:textId="77777777" w:rsidR="007617CD" w:rsidRPr="00DC1974" w:rsidRDefault="007617CD" w:rsidP="00D453EB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617CD" w:rsidRPr="00DC1974" w14:paraId="20F74F8F" w14:textId="77777777" w:rsidTr="00D453EB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2843C2AB" w14:textId="77777777" w:rsidR="007617CD" w:rsidRPr="00DC1974" w:rsidRDefault="007617CD" w:rsidP="00D453E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4A8FDEC1" w14:textId="77777777" w:rsidR="007617CD" w:rsidRPr="00DC1974" w:rsidRDefault="007617CD" w:rsidP="00D453E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0C617AA4" w14:textId="77777777" w:rsidR="007617CD" w:rsidRPr="00DC1974" w:rsidRDefault="007617CD" w:rsidP="00D453E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12AAA7F8" w14:textId="77777777" w:rsidR="007617CD" w:rsidRPr="00DC1974" w:rsidRDefault="007617CD" w:rsidP="00D453E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37FA8606" w14:textId="77777777" w:rsidR="007617CD" w:rsidRPr="00DC1974" w:rsidRDefault="007617CD" w:rsidP="00D453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20F45F1C" w14:textId="77777777" w:rsidR="007617CD" w:rsidRPr="00DC1974" w:rsidRDefault="007617CD" w:rsidP="00D453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59F18139" w14:textId="77777777" w:rsidR="007617CD" w:rsidRPr="00DC1974" w:rsidRDefault="007617CD" w:rsidP="00D453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7617CD" w:rsidRPr="00DC1974" w14:paraId="25597941" w14:textId="77777777" w:rsidTr="00D45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4AB3F159" w14:textId="77777777" w:rsidR="007617CD" w:rsidRPr="00DC1974" w:rsidRDefault="007617CD" w:rsidP="00D453EB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743EB959" w14:textId="77777777" w:rsidR="007617CD" w:rsidRPr="00DC1974" w:rsidRDefault="007617CD" w:rsidP="00D453EB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748D7812" w14:textId="77777777" w:rsidR="007617CD" w:rsidRPr="00DC1974" w:rsidRDefault="007617CD" w:rsidP="007617CD">
      <w:pPr>
        <w:jc w:val="both"/>
        <w:rPr>
          <w:rFonts w:eastAsia="Calibri"/>
          <w:sz w:val="24"/>
          <w:szCs w:val="24"/>
          <w:lang w:eastAsia="en-US"/>
        </w:rPr>
      </w:pPr>
    </w:p>
    <w:p w14:paraId="724432FD" w14:textId="06ADF8C3" w:rsidR="007617CD" w:rsidRPr="00DC1974" w:rsidRDefault="00301074" w:rsidP="007617C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531429">
        <w:rPr>
          <w:rFonts w:eastAsia="Calibri"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C256F0">
        <w:rPr>
          <w:rFonts w:eastAsia="Calibri"/>
          <w:sz w:val="28"/>
          <w:szCs w:val="28"/>
          <w:lang w:eastAsia="en-US"/>
        </w:rPr>
        <w:t>марта</w:t>
      </w:r>
      <w:r w:rsidR="00ED3E1E">
        <w:rPr>
          <w:rFonts w:eastAsia="Calibri"/>
          <w:sz w:val="28"/>
          <w:szCs w:val="28"/>
          <w:lang w:eastAsia="en-US"/>
        </w:rPr>
        <w:t xml:space="preserve"> 202</w:t>
      </w:r>
      <w:r w:rsidR="00C256F0">
        <w:rPr>
          <w:rFonts w:eastAsia="Calibri"/>
          <w:sz w:val="28"/>
          <w:szCs w:val="28"/>
          <w:lang w:eastAsia="en-US"/>
        </w:rPr>
        <w:t>5</w:t>
      </w:r>
      <w:r w:rsidR="007617CD" w:rsidRPr="00DC1974">
        <w:rPr>
          <w:rFonts w:eastAsia="Calibri"/>
          <w:sz w:val="28"/>
          <w:szCs w:val="28"/>
          <w:lang w:eastAsia="en-US"/>
        </w:rPr>
        <w:t xml:space="preserve">   года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№ </w:t>
      </w:r>
      <w:r w:rsidR="00531429">
        <w:rPr>
          <w:rFonts w:eastAsia="Calibri"/>
          <w:sz w:val="28"/>
          <w:szCs w:val="28"/>
          <w:lang w:eastAsia="en-US"/>
        </w:rPr>
        <w:t>293</w:t>
      </w:r>
      <w:r w:rsidR="007617CD" w:rsidRPr="00DC1974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</w:p>
    <w:p w14:paraId="3D64F5D8" w14:textId="77777777" w:rsidR="007617CD" w:rsidRPr="00DC1974" w:rsidRDefault="007617CD" w:rsidP="007617C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65382287" w14:textId="77777777" w:rsidR="009F6B2C" w:rsidRDefault="009F6B2C" w:rsidP="009F6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9184B0" w14:textId="77777777" w:rsidR="009F6B2C" w:rsidRPr="00E47B5E" w:rsidRDefault="009F6B2C" w:rsidP="009F6B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 xml:space="preserve">Об утверждении ключевых показателей эффективности </w:t>
      </w:r>
    </w:p>
    <w:p w14:paraId="2A9C2024" w14:textId="77777777" w:rsidR="009F6B2C" w:rsidRPr="00E47B5E" w:rsidRDefault="009F6B2C" w:rsidP="009F6B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 xml:space="preserve">функционирования антимонопольного комплаенса в </w:t>
      </w:r>
    </w:p>
    <w:p w14:paraId="4289D481" w14:textId="77777777" w:rsidR="009F6B2C" w:rsidRPr="00E47B5E" w:rsidRDefault="009F6B2C" w:rsidP="009F6B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</w:t>
      </w:r>
    </w:p>
    <w:p w14:paraId="3CAA2105" w14:textId="77777777" w:rsidR="009F6B2C" w:rsidRPr="00E47B5E" w:rsidRDefault="009F6B2C" w:rsidP="009F6B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1B7F5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5C19395" w14:textId="77777777" w:rsidR="009F6B2C" w:rsidRPr="00E47B5E" w:rsidRDefault="009F6B2C" w:rsidP="009F6B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E47A201" w14:textId="6F778C3B" w:rsidR="00E47B5E" w:rsidRPr="00E47B5E" w:rsidRDefault="00E47B5E" w:rsidP="00E47B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 xml:space="preserve">Руководствуясь распоряжением Правительства Российской Федерации от 18 октября 2018 г № 2258-р, во исполнение раздела </w:t>
      </w:r>
      <w:r w:rsidRPr="00E47B5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E47B5E">
        <w:rPr>
          <w:rFonts w:ascii="Times New Roman" w:hAnsi="Times New Roman" w:cs="Times New Roman"/>
          <w:sz w:val="26"/>
          <w:szCs w:val="26"/>
        </w:rPr>
        <w:t xml:space="preserve"> Положения об организации в Администра</w:t>
      </w:r>
      <w:r w:rsidR="00E709FD">
        <w:rPr>
          <w:rFonts w:ascii="Times New Roman" w:hAnsi="Times New Roman" w:cs="Times New Roman"/>
          <w:sz w:val="26"/>
          <w:szCs w:val="26"/>
        </w:rPr>
        <w:t>ции муниципального образования</w:t>
      </w:r>
      <w:r w:rsidR="001B7F5D">
        <w:rPr>
          <w:rFonts w:ascii="Times New Roman" w:hAnsi="Times New Roman" w:cs="Times New Roman"/>
          <w:sz w:val="26"/>
          <w:szCs w:val="26"/>
        </w:rPr>
        <w:t xml:space="preserve"> </w:t>
      </w:r>
      <w:r w:rsidR="00531429">
        <w:rPr>
          <w:rFonts w:ascii="Times New Roman" w:hAnsi="Times New Roman" w:cs="Times New Roman"/>
          <w:sz w:val="26"/>
          <w:szCs w:val="26"/>
        </w:rPr>
        <w:t xml:space="preserve">«Муниципальный округ </w:t>
      </w:r>
      <w:r w:rsidRPr="00E47B5E">
        <w:rPr>
          <w:rFonts w:ascii="Times New Roman" w:hAnsi="Times New Roman" w:cs="Times New Roman"/>
          <w:sz w:val="26"/>
          <w:szCs w:val="26"/>
        </w:rPr>
        <w:t xml:space="preserve">Красногорский район </w:t>
      </w:r>
      <w:r w:rsidR="00531429">
        <w:rPr>
          <w:rFonts w:ascii="Times New Roman" w:hAnsi="Times New Roman" w:cs="Times New Roman"/>
          <w:sz w:val="26"/>
          <w:szCs w:val="26"/>
        </w:rPr>
        <w:t xml:space="preserve">Удмуртской Республики» </w:t>
      </w:r>
      <w:r w:rsidRPr="00E47B5E">
        <w:rPr>
          <w:rFonts w:ascii="Times New Roman" w:hAnsi="Times New Roman" w:cs="Times New Roman"/>
          <w:sz w:val="26"/>
          <w:szCs w:val="26"/>
        </w:rPr>
        <w:t>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</w:t>
      </w:r>
      <w:r w:rsidR="00E709FD">
        <w:rPr>
          <w:rFonts w:ascii="Times New Roman" w:hAnsi="Times New Roman" w:cs="Times New Roman"/>
          <w:sz w:val="26"/>
          <w:szCs w:val="26"/>
        </w:rPr>
        <w:t>ции муниципального образования</w:t>
      </w:r>
      <w:r w:rsidR="001B7F5D">
        <w:rPr>
          <w:rFonts w:ascii="Times New Roman" w:hAnsi="Times New Roman" w:cs="Times New Roman"/>
          <w:sz w:val="26"/>
          <w:szCs w:val="26"/>
        </w:rPr>
        <w:t xml:space="preserve"> </w:t>
      </w:r>
      <w:r w:rsidR="00531429">
        <w:rPr>
          <w:rFonts w:ascii="Times New Roman" w:hAnsi="Times New Roman" w:cs="Times New Roman"/>
          <w:sz w:val="26"/>
          <w:szCs w:val="26"/>
        </w:rPr>
        <w:t xml:space="preserve">«Муниципальный округ </w:t>
      </w:r>
      <w:r w:rsidR="007617CD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531429"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="007617CD">
        <w:rPr>
          <w:rFonts w:ascii="Times New Roman" w:hAnsi="Times New Roman" w:cs="Times New Roman"/>
          <w:sz w:val="26"/>
          <w:szCs w:val="26"/>
        </w:rPr>
        <w:t xml:space="preserve"> от </w:t>
      </w:r>
      <w:r w:rsidR="00531429">
        <w:rPr>
          <w:rFonts w:ascii="Times New Roman" w:hAnsi="Times New Roman" w:cs="Times New Roman"/>
          <w:sz w:val="26"/>
          <w:szCs w:val="26"/>
        </w:rPr>
        <w:t>0</w:t>
      </w:r>
      <w:r w:rsidR="00ED3E1E">
        <w:rPr>
          <w:rFonts w:ascii="Times New Roman" w:hAnsi="Times New Roman" w:cs="Times New Roman"/>
          <w:sz w:val="26"/>
          <w:szCs w:val="26"/>
        </w:rPr>
        <w:t>6.</w:t>
      </w:r>
      <w:r w:rsidR="00531429">
        <w:rPr>
          <w:rFonts w:ascii="Times New Roman" w:hAnsi="Times New Roman" w:cs="Times New Roman"/>
          <w:sz w:val="26"/>
          <w:szCs w:val="26"/>
        </w:rPr>
        <w:t>0</w:t>
      </w:r>
      <w:r w:rsidR="00ED3E1E">
        <w:rPr>
          <w:rFonts w:ascii="Times New Roman" w:hAnsi="Times New Roman" w:cs="Times New Roman"/>
          <w:sz w:val="26"/>
          <w:szCs w:val="26"/>
        </w:rPr>
        <w:t>2.202</w:t>
      </w:r>
      <w:r w:rsidR="00531429">
        <w:rPr>
          <w:rFonts w:ascii="Times New Roman" w:hAnsi="Times New Roman" w:cs="Times New Roman"/>
          <w:sz w:val="26"/>
          <w:szCs w:val="26"/>
        </w:rPr>
        <w:t>5</w:t>
      </w:r>
      <w:r w:rsidR="00ED3E1E">
        <w:rPr>
          <w:rFonts w:ascii="Times New Roman" w:hAnsi="Times New Roman" w:cs="Times New Roman"/>
          <w:sz w:val="26"/>
          <w:szCs w:val="26"/>
        </w:rPr>
        <w:t xml:space="preserve"> № 1</w:t>
      </w:r>
      <w:r w:rsidR="00531429">
        <w:rPr>
          <w:rFonts w:ascii="Times New Roman" w:hAnsi="Times New Roman" w:cs="Times New Roman"/>
          <w:sz w:val="26"/>
          <w:szCs w:val="26"/>
        </w:rPr>
        <w:t>59</w:t>
      </w:r>
      <w:r w:rsidRPr="00E47B5E">
        <w:rPr>
          <w:rFonts w:ascii="Times New Roman" w:hAnsi="Times New Roman" w:cs="Times New Roman"/>
          <w:sz w:val="26"/>
          <w:szCs w:val="26"/>
        </w:rPr>
        <w:t>,</w:t>
      </w:r>
    </w:p>
    <w:p w14:paraId="2D1EE944" w14:textId="77777777" w:rsidR="00E47B5E" w:rsidRPr="00E47B5E" w:rsidRDefault="00E47B5E" w:rsidP="00E47B5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5E79492" w14:textId="77777777" w:rsidR="00E47B5E" w:rsidRPr="00E47B5E" w:rsidRDefault="00E47B5E" w:rsidP="00E47B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>АДМИНИСТРАЦИЯ ПОСТАНОВЛЯЕТ:</w:t>
      </w:r>
    </w:p>
    <w:p w14:paraId="703B67B9" w14:textId="77777777" w:rsidR="00E47B5E" w:rsidRPr="00E47B5E" w:rsidRDefault="00E47B5E" w:rsidP="00E47B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207175F" w14:textId="584BB7D5" w:rsidR="009F6B2C" w:rsidRDefault="009F6B2C" w:rsidP="00531429">
      <w:pPr>
        <w:pStyle w:val="a3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>Утвердить</w:t>
      </w:r>
      <w:r w:rsidR="00E50431" w:rsidRPr="00E47B5E">
        <w:rPr>
          <w:rFonts w:ascii="Times New Roman" w:hAnsi="Times New Roman" w:cs="Times New Roman"/>
          <w:sz w:val="26"/>
          <w:szCs w:val="26"/>
        </w:rPr>
        <w:t xml:space="preserve"> ключевые показатели эффективности функционирования антимонопольного комплаенса в Администра</w:t>
      </w:r>
      <w:r w:rsidR="00E709FD">
        <w:rPr>
          <w:rFonts w:ascii="Times New Roman" w:hAnsi="Times New Roman" w:cs="Times New Roman"/>
          <w:sz w:val="26"/>
          <w:szCs w:val="26"/>
        </w:rPr>
        <w:t xml:space="preserve">ции муниципального образования </w:t>
      </w:r>
      <w:r w:rsidR="007617CD">
        <w:rPr>
          <w:rFonts w:ascii="Times New Roman" w:hAnsi="Times New Roman" w:cs="Times New Roman"/>
          <w:sz w:val="26"/>
          <w:szCs w:val="26"/>
        </w:rPr>
        <w:t xml:space="preserve">«Муниципальный округ </w:t>
      </w:r>
      <w:r w:rsidR="00E50431" w:rsidRPr="00E47B5E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7617CD"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="00E50431" w:rsidRPr="00E47B5E">
        <w:rPr>
          <w:rFonts w:ascii="Times New Roman" w:hAnsi="Times New Roman" w:cs="Times New Roman"/>
          <w:sz w:val="26"/>
          <w:szCs w:val="26"/>
        </w:rPr>
        <w:t xml:space="preserve"> согласно Прил</w:t>
      </w:r>
      <w:r w:rsidR="00E47B5E" w:rsidRPr="00E47B5E">
        <w:rPr>
          <w:rFonts w:ascii="Times New Roman" w:hAnsi="Times New Roman" w:cs="Times New Roman"/>
          <w:sz w:val="26"/>
          <w:szCs w:val="26"/>
        </w:rPr>
        <w:t>ожению</w:t>
      </w:r>
      <w:r w:rsidR="004057FB" w:rsidRPr="00E47B5E">
        <w:rPr>
          <w:rFonts w:ascii="Times New Roman" w:hAnsi="Times New Roman" w:cs="Times New Roman"/>
          <w:sz w:val="26"/>
          <w:szCs w:val="26"/>
        </w:rPr>
        <w:t xml:space="preserve"> № 1 к настоящему постановл</w:t>
      </w:r>
      <w:r w:rsidR="00E50431" w:rsidRPr="00E47B5E">
        <w:rPr>
          <w:rFonts w:ascii="Times New Roman" w:hAnsi="Times New Roman" w:cs="Times New Roman"/>
          <w:sz w:val="26"/>
          <w:szCs w:val="26"/>
        </w:rPr>
        <w:t>ению.</w:t>
      </w:r>
    </w:p>
    <w:p w14:paraId="5B2A771F" w14:textId="55BF438D" w:rsidR="00531429" w:rsidRPr="00E47B5E" w:rsidRDefault="00531429" w:rsidP="00F245AC">
      <w:pPr>
        <w:pStyle w:val="a3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Администрации муниципального образования «Муниципальный округ Красногорский район Удмуртской Республики» от 25.01.2022 № 69 «Об утверждении ключевых показателей эффективности функционирования антимонопольного комплаенса в Администрации муниципального образования Красногорский район» считать утратившим силу.</w:t>
      </w:r>
    </w:p>
    <w:p w14:paraId="55187865" w14:textId="6CA444E5" w:rsidR="00614250" w:rsidRPr="00E47B5E" w:rsidRDefault="00F245AC" w:rsidP="0061425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14250" w:rsidRPr="00E47B5E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возложить на руководителя Аппарата Главы муниципального образования, Совета депутатов и Администра</w:t>
      </w:r>
      <w:r w:rsidR="00E709FD">
        <w:rPr>
          <w:rFonts w:ascii="Times New Roman" w:hAnsi="Times New Roman" w:cs="Times New Roman"/>
          <w:sz w:val="26"/>
          <w:szCs w:val="26"/>
        </w:rPr>
        <w:t>ции муниципального образования</w:t>
      </w:r>
      <w:r w:rsidR="001B7F5D">
        <w:rPr>
          <w:rFonts w:ascii="Times New Roman" w:hAnsi="Times New Roman" w:cs="Times New Roman"/>
          <w:sz w:val="26"/>
          <w:szCs w:val="26"/>
        </w:rPr>
        <w:t xml:space="preserve"> </w:t>
      </w:r>
      <w:r w:rsidR="00614250" w:rsidRPr="00E47B5E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7617CD">
        <w:rPr>
          <w:rFonts w:ascii="Times New Roman" w:hAnsi="Times New Roman" w:cs="Times New Roman"/>
          <w:sz w:val="26"/>
          <w:szCs w:val="26"/>
        </w:rPr>
        <w:t>.</w:t>
      </w:r>
    </w:p>
    <w:p w14:paraId="26CF8F36" w14:textId="77517B86" w:rsidR="00614250" w:rsidRPr="00E47B5E" w:rsidRDefault="007F6589" w:rsidP="00F245AC">
      <w:pPr>
        <w:pStyle w:val="a3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 xml:space="preserve">        </w:t>
      </w:r>
      <w:r w:rsidR="00F245AC">
        <w:rPr>
          <w:rFonts w:ascii="Times New Roman" w:hAnsi="Times New Roman" w:cs="Times New Roman"/>
          <w:sz w:val="26"/>
          <w:szCs w:val="26"/>
        </w:rPr>
        <w:t>4</w:t>
      </w:r>
      <w:r w:rsidR="00614250" w:rsidRPr="00E47B5E">
        <w:rPr>
          <w:rFonts w:ascii="Times New Roman" w:hAnsi="Times New Roman" w:cs="Times New Roman"/>
          <w:sz w:val="26"/>
          <w:szCs w:val="26"/>
        </w:rPr>
        <w:t>. Настоящее постановление подлежит размещению на официальном са</w:t>
      </w:r>
      <w:r w:rsidR="00E709FD">
        <w:rPr>
          <w:rFonts w:ascii="Times New Roman" w:hAnsi="Times New Roman" w:cs="Times New Roman"/>
          <w:sz w:val="26"/>
          <w:szCs w:val="26"/>
        </w:rPr>
        <w:t>йте муниципального образования</w:t>
      </w:r>
      <w:r w:rsidR="00F245AC">
        <w:rPr>
          <w:rFonts w:ascii="Times New Roman" w:hAnsi="Times New Roman" w:cs="Times New Roman"/>
          <w:sz w:val="26"/>
          <w:szCs w:val="26"/>
        </w:rPr>
        <w:t xml:space="preserve"> «Муниципальный округ</w:t>
      </w:r>
      <w:r w:rsidR="00E709FD">
        <w:rPr>
          <w:rFonts w:ascii="Times New Roman" w:hAnsi="Times New Roman" w:cs="Times New Roman"/>
          <w:sz w:val="26"/>
          <w:szCs w:val="26"/>
        </w:rPr>
        <w:t xml:space="preserve"> </w:t>
      </w:r>
      <w:r w:rsidR="00614250" w:rsidRPr="00E47B5E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F245AC"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="00614250" w:rsidRPr="00E47B5E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14:paraId="263323DD" w14:textId="77777777" w:rsidR="00614250" w:rsidRPr="00E47B5E" w:rsidRDefault="00614250" w:rsidP="00E504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2F38E9C" w14:textId="77777777" w:rsidR="007617CD" w:rsidRPr="007617CD" w:rsidRDefault="007617CD" w:rsidP="007617CD">
      <w:pPr>
        <w:jc w:val="both"/>
        <w:rPr>
          <w:sz w:val="26"/>
          <w:szCs w:val="26"/>
        </w:rPr>
      </w:pPr>
      <w:r w:rsidRPr="007617CD">
        <w:rPr>
          <w:sz w:val="26"/>
          <w:szCs w:val="26"/>
        </w:rPr>
        <w:t xml:space="preserve">Глава муниципального образования </w:t>
      </w:r>
    </w:p>
    <w:p w14:paraId="24B2A86D" w14:textId="77777777" w:rsidR="007617CD" w:rsidRPr="007617CD" w:rsidRDefault="007617CD" w:rsidP="007617CD">
      <w:pPr>
        <w:jc w:val="both"/>
        <w:rPr>
          <w:sz w:val="26"/>
          <w:szCs w:val="26"/>
        </w:rPr>
      </w:pPr>
      <w:r w:rsidRPr="007617CD">
        <w:rPr>
          <w:sz w:val="26"/>
          <w:szCs w:val="26"/>
        </w:rPr>
        <w:t>«Муниципальный округ Красногорский район</w:t>
      </w:r>
    </w:p>
    <w:p w14:paraId="74F42873" w14:textId="0A67F321" w:rsidR="007617CD" w:rsidRPr="007617CD" w:rsidRDefault="007617CD" w:rsidP="007617CD">
      <w:pPr>
        <w:jc w:val="both"/>
        <w:rPr>
          <w:sz w:val="26"/>
          <w:szCs w:val="26"/>
        </w:rPr>
      </w:pPr>
      <w:r w:rsidRPr="007617CD">
        <w:rPr>
          <w:sz w:val="26"/>
          <w:szCs w:val="26"/>
        </w:rPr>
        <w:t xml:space="preserve">Удмуртской Республики»                                                                </w:t>
      </w:r>
      <w:r w:rsidRPr="007617CD">
        <w:rPr>
          <w:sz w:val="26"/>
          <w:szCs w:val="26"/>
        </w:rPr>
        <w:tab/>
      </w:r>
      <w:r w:rsidR="00531429">
        <w:rPr>
          <w:sz w:val="26"/>
          <w:szCs w:val="26"/>
        </w:rPr>
        <w:t>Л.И. Сергеева</w:t>
      </w:r>
    </w:p>
    <w:p w14:paraId="55C0AF39" w14:textId="77777777" w:rsidR="007617CD" w:rsidRDefault="007617CD" w:rsidP="007617CD">
      <w:pPr>
        <w:jc w:val="both"/>
        <w:rPr>
          <w:sz w:val="26"/>
          <w:szCs w:val="26"/>
        </w:rPr>
      </w:pPr>
    </w:p>
    <w:p w14:paraId="76F30207" w14:textId="2ECB6231" w:rsidR="00183CC2" w:rsidRPr="00531429" w:rsidRDefault="00531429" w:rsidP="00531429">
      <w:pPr>
        <w:jc w:val="both"/>
      </w:pPr>
      <w:r w:rsidRPr="00531429">
        <w:t>Исполнитель Куклина Т.В.</w:t>
      </w:r>
    </w:p>
    <w:p w14:paraId="63A1B6C9" w14:textId="77777777" w:rsidR="00240F2C" w:rsidRDefault="007554D8" w:rsidP="00240F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4DEE1AC1" w14:textId="77777777" w:rsidR="00E709FD" w:rsidRDefault="007554D8" w:rsidP="001B7F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240F2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28540DE" w14:textId="4C55788B" w:rsidR="00E709FD" w:rsidRDefault="00240F2C" w:rsidP="00E709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709FD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531429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</w:t>
      </w:r>
    </w:p>
    <w:p w14:paraId="0D166DED" w14:textId="0FF98B25" w:rsidR="007554D8" w:rsidRDefault="00240F2C" w:rsidP="00E709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</w:t>
      </w:r>
      <w:r w:rsidR="001B7F5D">
        <w:rPr>
          <w:rFonts w:ascii="Times New Roman" w:hAnsi="Times New Roman" w:cs="Times New Roman"/>
          <w:sz w:val="24"/>
          <w:szCs w:val="24"/>
        </w:rPr>
        <w:t xml:space="preserve"> </w:t>
      </w:r>
      <w:r w:rsidR="00531429">
        <w:rPr>
          <w:rFonts w:ascii="Times New Roman" w:hAnsi="Times New Roman" w:cs="Times New Roman"/>
          <w:sz w:val="24"/>
          <w:szCs w:val="24"/>
        </w:rPr>
        <w:t xml:space="preserve">Удмуртской Республики» </w:t>
      </w:r>
      <w:r w:rsidR="00301074">
        <w:rPr>
          <w:rFonts w:ascii="Times New Roman" w:hAnsi="Times New Roman" w:cs="Times New Roman"/>
          <w:sz w:val="24"/>
          <w:szCs w:val="24"/>
        </w:rPr>
        <w:t xml:space="preserve">от </w:t>
      </w:r>
      <w:r w:rsidR="00531429">
        <w:rPr>
          <w:rFonts w:ascii="Times New Roman" w:hAnsi="Times New Roman" w:cs="Times New Roman"/>
          <w:sz w:val="24"/>
          <w:szCs w:val="24"/>
        </w:rPr>
        <w:t>11</w:t>
      </w:r>
      <w:r w:rsidR="00301074">
        <w:rPr>
          <w:rFonts w:ascii="Times New Roman" w:hAnsi="Times New Roman" w:cs="Times New Roman"/>
          <w:sz w:val="24"/>
          <w:szCs w:val="24"/>
        </w:rPr>
        <w:t>.0</w:t>
      </w:r>
      <w:r w:rsidR="00531429">
        <w:rPr>
          <w:rFonts w:ascii="Times New Roman" w:hAnsi="Times New Roman" w:cs="Times New Roman"/>
          <w:sz w:val="24"/>
          <w:szCs w:val="24"/>
        </w:rPr>
        <w:t>3</w:t>
      </w:r>
      <w:r w:rsidR="00301074">
        <w:rPr>
          <w:rFonts w:ascii="Times New Roman" w:hAnsi="Times New Roman" w:cs="Times New Roman"/>
          <w:sz w:val="24"/>
          <w:szCs w:val="24"/>
        </w:rPr>
        <w:t>.</w:t>
      </w:r>
      <w:r w:rsidR="00ED3E1E">
        <w:rPr>
          <w:rFonts w:ascii="Times New Roman" w:hAnsi="Times New Roman" w:cs="Times New Roman"/>
          <w:sz w:val="24"/>
          <w:szCs w:val="24"/>
        </w:rPr>
        <w:t>202</w:t>
      </w:r>
      <w:r w:rsidR="00531429">
        <w:rPr>
          <w:rFonts w:ascii="Times New Roman" w:hAnsi="Times New Roman" w:cs="Times New Roman"/>
          <w:sz w:val="24"/>
          <w:szCs w:val="24"/>
        </w:rPr>
        <w:t>5</w:t>
      </w:r>
      <w:r w:rsidR="00301074">
        <w:rPr>
          <w:rFonts w:ascii="Times New Roman" w:hAnsi="Times New Roman" w:cs="Times New Roman"/>
          <w:sz w:val="24"/>
          <w:szCs w:val="24"/>
        </w:rPr>
        <w:t xml:space="preserve"> № </w:t>
      </w:r>
      <w:r w:rsidR="00531429">
        <w:rPr>
          <w:rFonts w:ascii="Times New Roman" w:hAnsi="Times New Roman" w:cs="Times New Roman"/>
          <w:sz w:val="24"/>
          <w:szCs w:val="24"/>
        </w:rPr>
        <w:t>293</w:t>
      </w:r>
    </w:p>
    <w:p w14:paraId="3083D871" w14:textId="77777777" w:rsidR="00240F2C" w:rsidRPr="00E6284D" w:rsidRDefault="00240F2C" w:rsidP="00240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133B7F" w14:textId="77777777" w:rsidR="00240F2C" w:rsidRPr="00E6284D" w:rsidRDefault="00240F2C" w:rsidP="00240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4D">
        <w:rPr>
          <w:rFonts w:ascii="Times New Roman" w:hAnsi="Times New Roman" w:cs="Times New Roman"/>
          <w:b/>
          <w:sz w:val="28"/>
          <w:szCs w:val="28"/>
        </w:rPr>
        <w:t>Ключевые показатели эффективности</w:t>
      </w:r>
    </w:p>
    <w:p w14:paraId="75DE45CF" w14:textId="77777777" w:rsidR="00240F2C" w:rsidRPr="00E6284D" w:rsidRDefault="00240F2C" w:rsidP="00240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4D">
        <w:rPr>
          <w:rFonts w:ascii="Times New Roman" w:hAnsi="Times New Roman" w:cs="Times New Roman"/>
          <w:b/>
          <w:sz w:val="28"/>
          <w:szCs w:val="28"/>
        </w:rPr>
        <w:t>функционирования антимонопольного комплаенса в Администрации</w:t>
      </w:r>
    </w:p>
    <w:p w14:paraId="6B290BC2" w14:textId="77777777" w:rsidR="00240F2C" w:rsidRPr="00E6284D" w:rsidRDefault="00E709FD" w:rsidP="00240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7617CD">
        <w:rPr>
          <w:rFonts w:ascii="Times New Roman" w:hAnsi="Times New Roman" w:cs="Times New Roman"/>
          <w:b/>
          <w:sz w:val="28"/>
          <w:szCs w:val="28"/>
        </w:rPr>
        <w:t xml:space="preserve">«Муниципальный округ </w:t>
      </w:r>
      <w:r w:rsidR="00240F2C" w:rsidRPr="00E6284D">
        <w:rPr>
          <w:rFonts w:ascii="Times New Roman" w:hAnsi="Times New Roman" w:cs="Times New Roman"/>
          <w:b/>
          <w:sz w:val="28"/>
          <w:szCs w:val="28"/>
        </w:rPr>
        <w:t>Красногорский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7CD">
        <w:rPr>
          <w:rFonts w:ascii="Times New Roman" w:hAnsi="Times New Roman" w:cs="Times New Roman"/>
          <w:b/>
          <w:sz w:val="28"/>
          <w:szCs w:val="28"/>
        </w:rPr>
        <w:t>Удмуртской Республики»</w:t>
      </w:r>
    </w:p>
    <w:p w14:paraId="20B51188" w14:textId="77777777" w:rsidR="00240F2C" w:rsidRPr="00E6284D" w:rsidRDefault="00240F2C" w:rsidP="00240F2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662"/>
        <w:gridCol w:w="4557"/>
        <w:gridCol w:w="2978"/>
        <w:gridCol w:w="1692"/>
      </w:tblGrid>
      <w:tr w:rsidR="003060C4" w:rsidRPr="00E6284D" w14:paraId="46144C84" w14:textId="77777777" w:rsidTr="003060C4">
        <w:tc>
          <w:tcPr>
            <w:tcW w:w="662" w:type="dxa"/>
          </w:tcPr>
          <w:p w14:paraId="5D6E5237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8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66" w:type="dxa"/>
          </w:tcPr>
          <w:p w14:paraId="6C54F094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84D">
              <w:rPr>
                <w:rFonts w:ascii="Times New Roman" w:hAnsi="Times New Roman" w:cs="Times New Roman"/>
                <w:sz w:val="28"/>
                <w:szCs w:val="28"/>
              </w:rPr>
              <w:t>Наименование ключевого показателя</w:t>
            </w:r>
          </w:p>
        </w:tc>
        <w:tc>
          <w:tcPr>
            <w:tcW w:w="2969" w:type="dxa"/>
          </w:tcPr>
          <w:p w14:paraId="119E4D7D" w14:textId="77777777" w:rsidR="00240F2C" w:rsidRPr="00E6284D" w:rsidRDefault="007F658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значения</w:t>
            </w:r>
            <w:r w:rsidR="00240F2C" w:rsidRPr="00E6284D">
              <w:rPr>
                <w:rFonts w:ascii="Times New Roman" w:hAnsi="Times New Roman" w:cs="Times New Roman"/>
                <w:sz w:val="28"/>
                <w:szCs w:val="28"/>
              </w:rPr>
              <w:t xml:space="preserve"> ключевого показателя</w:t>
            </w:r>
          </w:p>
        </w:tc>
        <w:tc>
          <w:tcPr>
            <w:tcW w:w="1692" w:type="dxa"/>
          </w:tcPr>
          <w:p w14:paraId="010F614C" w14:textId="77777777" w:rsidR="00240F2C" w:rsidRPr="00E6284D" w:rsidRDefault="00F53D2F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84D">
              <w:rPr>
                <w:rFonts w:ascii="Times New Roman" w:hAnsi="Times New Roman" w:cs="Times New Roman"/>
                <w:sz w:val="28"/>
                <w:szCs w:val="28"/>
              </w:rPr>
              <w:t>Фактически исполнено</w:t>
            </w:r>
            <w:r w:rsidR="007F6589">
              <w:rPr>
                <w:rFonts w:ascii="Times New Roman" w:hAnsi="Times New Roman" w:cs="Times New Roman"/>
                <w:sz w:val="28"/>
                <w:szCs w:val="28"/>
              </w:rPr>
              <w:t>, балл</w:t>
            </w:r>
            <w:r w:rsidRPr="00E6284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060C4" w:rsidRPr="00E6284D" w14:paraId="18826068" w14:textId="77777777" w:rsidTr="003060C4">
        <w:tc>
          <w:tcPr>
            <w:tcW w:w="662" w:type="dxa"/>
          </w:tcPr>
          <w:p w14:paraId="13C84EBB" w14:textId="77777777" w:rsidR="00EA6737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6" w:type="dxa"/>
          </w:tcPr>
          <w:p w14:paraId="068114A8" w14:textId="77777777" w:rsidR="00EA6737" w:rsidRPr="00E6284D" w:rsidRDefault="00EA673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утвержденного правового акта Администра</w:t>
            </w:r>
            <w:r w:rsidR="00E709FD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</w:t>
            </w:r>
            <w:r w:rsidR="001B7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Красногорский район (далее – Администрация) об антимонопольном комплаенсе</w:t>
            </w:r>
          </w:p>
        </w:tc>
        <w:tc>
          <w:tcPr>
            <w:tcW w:w="2969" w:type="dxa"/>
          </w:tcPr>
          <w:p w14:paraId="210237C4" w14:textId="77777777" w:rsidR="00EA6737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 правовой акт не принят;</w:t>
            </w:r>
          </w:p>
          <w:p w14:paraId="6D221FA9" w14:textId="77777777" w:rsidR="00081677" w:rsidRDefault="00081677" w:rsidP="00081677">
            <w:pPr>
              <w:pStyle w:val="a3"/>
              <w:numPr>
                <w:ilvl w:val="0"/>
                <w:numId w:val="3"/>
              </w:num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акт принят;</w:t>
            </w:r>
          </w:p>
          <w:p w14:paraId="51257ED8" w14:textId="77777777" w:rsidR="00081677" w:rsidRPr="00E6284D" w:rsidRDefault="00081677" w:rsidP="00081677">
            <w:pPr>
              <w:pStyle w:val="a3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в отчетном периоде в правовой акт вносились изменения по совершенствованию системы антимонопольного комплаенса</w:t>
            </w:r>
          </w:p>
        </w:tc>
        <w:tc>
          <w:tcPr>
            <w:tcW w:w="1692" w:type="dxa"/>
          </w:tcPr>
          <w:p w14:paraId="26800667" w14:textId="77777777" w:rsidR="00EA6737" w:rsidRPr="00E6284D" w:rsidRDefault="00EA673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64C72E38" w14:textId="77777777" w:rsidTr="003060C4">
        <w:tc>
          <w:tcPr>
            <w:tcW w:w="662" w:type="dxa"/>
          </w:tcPr>
          <w:p w14:paraId="5CB93817" w14:textId="77777777" w:rsidR="00CE6E09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14:paraId="48A9C10B" w14:textId="77777777" w:rsidR="00CE6E09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уполномоченных подразделений</w:t>
            </w:r>
          </w:p>
        </w:tc>
        <w:tc>
          <w:tcPr>
            <w:tcW w:w="2969" w:type="dxa"/>
          </w:tcPr>
          <w:p w14:paraId="335F920C" w14:textId="77777777" w:rsidR="00CE6E09" w:rsidRDefault="00081677" w:rsidP="00617221">
            <w:pPr>
              <w:pStyle w:val="a3"/>
              <w:numPr>
                <w:ilvl w:val="0"/>
                <w:numId w:val="4"/>
              </w:numPr>
              <w:ind w:left="-9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подразделения не определены;</w:t>
            </w:r>
          </w:p>
          <w:p w14:paraId="7472A209" w14:textId="77777777" w:rsidR="00081677" w:rsidRDefault="00081677" w:rsidP="00617221">
            <w:pPr>
              <w:pStyle w:val="a3"/>
              <w:numPr>
                <w:ilvl w:val="0"/>
                <w:numId w:val="4"/>
              </w:numPr>
              <w:ind w:left="-35"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подразделения определены;</w:t>
            </w:r>
          </w:p>
          <w:p w14:paraId="6CBF1EA4" w14:textId="77777777" w:rsidR="00617221" w:rsidRPr="00E6284D" w:rsidRDefault="00617221" w:rsidP="006172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уполномоченные подразделения определены и активно работают по профилактике и предупреждению нарушений</w:t>
            </w:r>
          </w:p>
        </w:tc>
        <w:tc>
          <w:tcPr>
            <w:tcW w:w="1692" w:type="dxa"/>
          </w:tcPr>
          <w:p w14:paraId="7B075EA7" w14:textId="77777777" w:rsidR="00CE6E09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4B7276B6" w14:textId="77777777" w:rsidTr="003060C4">
        <w:tc>
          <w:tcPr>
            <w:tcW w:w="662" w:type="dxa"/>
          </w:tcPr>
          <w:p w14:paraId="4844F66E" w14:textId="77777777" w:rsidR="00CE6E09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6" w:type="dxa"/>
          </w:tcPr>
          <w:p w14:paraId="18AEBCDE" w14:textId="77777777" w:rsidR="00CE6E09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карты комплаенс-рисков</w:t>
            </w:r>
          </w:p>
        </w:tc>
        <w:tc>
          <w:tcPr>
            <w:tcW w:w="2969" w:type="dxa"/>
          </w:tcPr>
          <w:p w14:paraId="02906180" w14:textId="77777777" w:rsidR="00CE6E09" w:rsidRDefault="00617221" w:rsidP="00617221">
            <w:pPr>
              <w:pStyle w:val="a3"/>
              <w:numPr>
                <w:ilvl w:val="0"/>
                <w:numId w:val="5"/>
              </w:numPr>
              <w:ind w:left="0" w:firstLine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не утверждена;</w:t>
            </w:r>
          </w:p>
          <w:p w14:paraId="77F91E99" w14:textId="77777777" w:rsidR="00617221" w:rsidRPr="00E6284D" w:rsidRDefault="00617221" w:rsidP="00617221">
            <w:pPr>
              <w:pStyle w:val="a3"/>
              <w:numPr>
                <w:ilvl w:val="0"/>
                <w:numId w:val="5"/>
              </w:numPr>
              <w:ind w:left="0" w:firstLine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утверждена;</w:t>
            </w:r>
          </w:p>
        </w:tc>
        <w:tc>
          <w:tcPr>
            <w:tcW w:w="1692" w:type="dxa"/>
          </w:tcPr>
          <w:p w14:paraId="2B17CF25" w14:textId="77777777" w:rsidR="00CE6E09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308234F0" w14:textId="77777777" w:rsidTr="003060C4">
        <w:tc>
          <w:tcPr>
            <w:tcW w:w="662" w:type="dxa"/>
          </w:tcPr>
          <w:p w14:paraId="01410DC5" w14:textId="77777777" w:rsidR="00CE6E09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6" w:type="dxa"/>
          </w:tcPr>
          <w:p w14:paraId="37B9F664" w14:textId="77777777" w:rsidR="00CE6E09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и оценке рисков нарушения антимонопольного законодательства, определение вероятности их возникновения (в том числе за предшествующие три года)</w:t>
            </w:r>
          </w:p>
        </w:tc>
        <w:tc>
          <w:tcPr>
            <w:tcW w:w="2969" w:type="dxa"/>
          </w:tcPr>
          <w:p w14:paraId="742E1A2A" w14:textId="77777777" w:rsidR="00CE6E09" w:rsidRDefault="00617221" w:rsidP="00AC465B">
            <w:pPr>
              <w:pStyle w:val="a3"/>
              <w:numPr>
                <w:ilvl w:val="0"/>
                <w:numId w:val="6"/>
              </w:numPr>
              <w:ind w:left="0" w:firstLine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рисков не проводится;</w:t>
            </w:r>
          </w:p>
          <w:p w14:paraId="27AEBFA3" w14:textId="77777777" w:rsidR="00617221" w:rsidRDefault="00617221" w:rsidP="00AC465B">
            <w:pPr>
              <w:pStyle w:val="a3"/>
              <w:numPr>
                <w:ilvl w:val="0"/>
                <w:numId w:val="6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 выявлены только при внедрении комплаенса;</w:t>
            </w:r>
          </w:p>
          <w:p w14:paraId="75FA85C9" w14:textId="77777777" w:rsidR="00617221" w:rsidRPr="00E6284D" w:rsidRDefault="00617221" w:rsidP="00AC465B">
            <w:pPr>
              <w:pStyle w:val="a3"/>
              <w:numPr>
                <w:ilvl w:val="0"/>
                <w:numId w:val="6"/>
              </w:numPr>
              <w:ind w:left="0" w:firstLine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риски выявляются на постоянной основе,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анализируется вероятность их возникновения</w:t>
            </w:r>
          </w:p>
        </w:tc>
        <w:tc>
          <w:tcPr>
            <w:tcW w:w="1692" w:type="dxa"/>
          </w:tcPr>
          <w:p w14:paraId="26EB6B5A" w14:textId="77777777" w:rsidR="00CE6E09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4E6CDB26" w14:textId="77777777" w:rsidTr="003060C4">
        <w:tc>
          <w:tcPr>
            <w:tcW w:w="662" w:type="dxa"/>
          </w:tcPr>
          <w:p w14:paraId="0E359B7B" w14:textId="77777777" w:rsidR="00CE6E09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6" w:type="dxa"/>
          </w:tcPr>
          <w:p w14:paraId="399A6B51" w14:textId="77777777" w:rsidR="00CE6E09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анализ практики применения антимонопольного </w:t>
            </w:r>
            <w:r w:rsidR="00AC465B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</w:t>
            </w:r>
          </w:p>
        </w:tc>
        <w:tc>
          <w:tcPr>
            <w:tcW w:w="2969" w:type="dxa"/>
          </w:tcPr>
          <w:p w14:paraId="7413CDA7" w14:textId="77777777" w:rsidR="00CE6E09" w:rsidRDefault="00AC465B" w:rsidP="00AC465B">
            <w:pPr>
              <w:pStyle w:val="a3"/>
              <w:numPr>
                <w:ilvl w:val="0"/>
                <w:numId w:val="7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не проводится;</w:t>
            </w:r>
          </w:p>
          <w:p w14:paraId="36C56798" w14:textId="77777777" w:rsidR="00AC465B" w:rsidRDefault="00AC465B" w:rsidP="00AC465B">
            <w:pPr>
              <w:pStyle w:val="a3"/>
              <w:numPr>
                <w:ilvl w:val="0"/>
                <w:numId w:val="7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проводился только при внедрении комплаенса;</w:t>
            </w:r>
          </w:p>
          <w:p w14:paraId="4E2409A9" w14:textId="77777777" w:rsidR="00AC465B" w:rsidRPr="00E6284D" w:rsidRDefault="00AC465B" w:rsidP="00AC465B">
            <w:pPr>
              <w:pStyle w:val="a3"/>
              <w:numPr>
                <w:ilvl w:val="0"/>
                <w:numId w:val="7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проводятся на постоянной основе</w:t>
            </w:r>
          </w:p>
        </w:tc>
        <w:tc>
          <w:tcPr>
            <w:tcW w:w="1692" w:type="dxa"/>
          </w:tcPr>
          <w:p w14:paraId="57937142" w14:textId="77777777" w:rsidR="00CE6E09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284C90DD" w14:textId="77777777" w:rsidTr="003060C4">
        <w:tc>
          <w:tcPr>
            <w:tcW w:w="662" w:type="dxa"/>
          </w:tcPr>
          <w:p w14:paraId="41202968" w14:textId="77777777" w:rsidR="00240F2C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6" w:type="dxa"/>
          </w:tcPr>
          <w:p w14:paraId="09E14424" w14:textId="77777777" w:rsidR="00240F2C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="00D7671C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требованиям антимонопольного законодательства</w:t>
            </w:r>
            <w:r w:rsidR="004D3562">
              <w:rPr>
                <w:rFonts w:ascii="Times New Roman" w:hAnsi="Times New Roman" w:cs="Times New Roman"/>
                <w:sz w:val="28"/>
                <w:szCs w:val="28"/>
              </w:rPr>
              <w:t xml:space="preserve"> и антимонопольного комплаенса</w:t>
            </w:r>
          </w:p>
        </w:tc>
        <w:tc>
          <w:tcPr>
            <w:tcW w:w="2969" w:type="dxa"/>
          </w:tcPr>
          <w:p w14:paraId="21FFC5E3" w14:textId="77777777" w:rsidR="00240F2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0-обучение не проводится;</w:t>
            </w:r>
          </w:p>
          <w:p w14:paraId="6C5760C4" w14:textId="77777777" w:rsidR="00D7671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1-проводится вводный (первичный) инструктаж;</w:t>
            </w:r>
          </w:p>
          <w:p w14:paraId="6F282E18" w14:textId="77777777" w:rsidR="00D7671C" w:rsidRPr="00E6284D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2-проводятся вводный и целевой (внеплановый) инструктаж</w:t>
            </w:r>
          </w:p>
        </w:tc>
        <w:tc>
          <w:tcPr>
            <w:tcW w:w="1692" w:type="dxa"/>
          </w:tcPr>
          <w:p w14:paraId="737D4853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34B1F5B7" w14:textId="77777777" w:rsidTr="003060C4">
        <w:tc>
          <w:tcPr>
            <w:tcW w:w="662" w:type="dxa"/>
          </w:tcPr>
          <w:p w14:paraId="1C5E39BE" w14:textId="77777777" w:rsidR="00240F2C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6" w:type="dxa"/>
          </w:tcPr>
          <w:p w14:paraId="65D9DE20" w14:textId="77777777" w:rsidR="00240F2C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="00E34B09" w:rsidRPr="00E6284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023A84" w:rsidRPr="00E6284D">
              <w:rPr>
                <w:rFonts w:ascii="Times New Roman" w:hAnsi="Times New Roman" w:cs="Times New Roman"/>
                <w:sz w:val="28"/>
                <w:szCs w:val="28"/>
              </w:rPr>
              <w:t>лана мероприятий по снижению рисков нарушения антимонопольного законод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ательства </w:t>
            </w:r>
          </w:p>
        </w:tc>
        <w:tc>
          <w:tcPr>
            <w:tcW w:w="2969" w:type="dxa"/>
          </w:tcPr>
          <w:p w14:paraId="722B62FD" w14:textId="77777777" w:rsidR="00240F2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0-план мероприятий не утвержден;</w:t>
            </w:r>
          </w:p>
          <w:p w14:paraId="05817D4C" w14:textId="77777777" w:rsidR="00D7671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1-план мероприятий утвержден;</w:t>
            </w:r>
          </w:p>
          <w:p w14:paraId="53B089FA" w14:textId="77777777" w:rsidR="00D7671C" w:rsidRPr="00E6284D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2-план мероприятий актуализируется</w:t>
            </w:r>
          </w:p>
        </w:tc>
        <w:tc>
          <w:tcPr>
            <w:tcW w:w="1692" w:type="dxa"/>
          </w:tcPr>
          <w:p w14:paraId="36AA0C98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4100689E" w14:textId="77777777" w:rsidTr="003060C4">
        <w:tc>
          <w:tcPr>
            <w:tcW w:w="662" w:type="dxa"/>
          </w:tcPr>
          <w:p w14:paraId="2A2C46CC" w14:textId="77777777" w:rsidR="00240F2C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6" w:type="dxa"/>
          </w:tcPr>
          <w:p w14:paraId="7FA4C75D" w14:textId="6C4623CC" w:rsidR="00240F2C" w:rsidRPr="00E6284D" w:rsidRDefault="008E2C43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нормативно-правовых актов А</w:t>
            </w:r>
            <w:r w:rsidR="00CD2AE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252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245AC">
              <w:rPr>
                <w:rFonts w:ascii="Times New Roman" w:hAnsi="Times New Roman" w:cs="Times New Roman"/>
                <w:sz w:val="28"/>
                <w:szCs w:val="28"/>
              </w:rPr>
              <w:t>нтернет портале для публичного обсуждения проектов</w:t>
            </w:r>
            <w:r w:rsidR="00325272">
              <w:rPr>
                <w:rFonts w:ascii="Times New Roman" w:hAnsi="Times New Roman" w:cs="Times New Roman"/>
                <w:sz w:val="28"/>
                <w:szCs w:val="28"/>
              </w:rPr>
              <w:t xml:space="preserve"> и действующих нормативных правовых актов Удмуртской Республики</w:t>
            </w:r>
            <w:r w:rsidR="00F24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9" w:type="dxa"/>
          </w:tcPr>
          <w:p w14:paraId="6F813105" w14:textId="77777777" w:rsidR="00240F2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0-НПА не размещаются;</w:t>
            </w:r>
          </w:p>
          <w:p w14:paraId="4A427EEF" w14:textId="77777777" w:rsidR="00D7671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1-НПА размещаются, не проводится экспертиза с публичным сбором замечаний и предложений;</w:t>
            </w:r>
          </w:p>
          <w:p w14:paraId="740C62E0" w14:textId="77777777" w:rsidR="00D7671C" w:rsidRPr="00E6284D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2-НПА размещаются,  проводится экспертиза с публичным сбором замечаний и предложений;</w:t>
            </w:r>
          </w:p>
        </w:tc>
        <w:tc>
          <w:tcPr>
            <w:tcW w:w="1692" w:type="dxa"/>
          </w:tcPr>
          <w:p w14:paraId="1A3A133A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1D6B64D9" w14:textId="77777777" w:rsidTr="003060C4">
        <w:tc>
          <w:tcPr>
            <w:tcW w:w="662" w:type="dxa"/>
          </w:tcPr>
          <w:p w14:paraId="47BA595A" w14:textId="77777777" w:rsidR="00B60900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66" w:type="dxa"/>
          </w:tcPr>
          <w:p w14:paraId="5302B75F" w14:textId="7065B17A" w:rsidR="00B60900" w:rsidRDefault="00B60900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306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нормативно-правовых актов </w:t>
            </w:r>
            <w:r w:rsidR="00CD2AE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25272">
              <w:rPr>
                <w:rFonts w:ascii="Times New Roman" w:hAnsi="Times New Roman" w:cs="Times New Roman"/>
                <w:sz w:val="28"/>
                <w:szCs w:val="28"/>
              </w:rPr>
              <w:t>Интернет портале для публичного обсуждения проектов и действующих нормативных правовых актов Удмуртской Республики</w:t>
            </w:r>
          </w:p>
        </w:tc>
        <w:tc>
          <w:tcPr>
            <w:tcW w:w="2969" w:type="dxa"/>
          </w:tcPr>
          <w:p w14:paraId="2A41A402" w14:textId="77777777" w:rsidR="00B60900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0-проекты НПА не размещаются;</w:t>
            </w:r>
          </w:p>
          <w:p w14:paraId="333DBB2B" w14:textId="77777777" w:rsidR="006C023D" w:rsidRPr="00E6284D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1-проекты НПА размещаются с проведением оценки регулирующего воздействия</w:t>
            </w:r>
          </w:p>
        </w:tc>
        <w:tc>
          <w:tcPr>
            <w:tcW w:w="1692" w:type="dxa"/>
          </w:tcPr>
          <w:p w14:paraId="62421D50" w14:textId="77777777" w:rsidR="00B60900" w:rsidRPr="00E6284D" w:rsidRDefault="00B60900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32E1E95B" w14:textId="77777777" w:rsidTr="003060C4">
        <w:tc>
          <w:tcPr>
            <w:tcW w:w="662" w:type="dxa"/>
          </w:tcPr>
          <w:p w14:paraId="3C08AA0E" w14:textId="77777777" w:rsidR="00B60900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66" w:type="dxa"/>
          </w:tcPr>
          <w:p w14:paraId="3370B108" w14:textId="77777777" w:rsidR="00B60900" w:rsidRDefault="00B60900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Главы района о внутренних документах, которые могут повлечь нарушение антимонопольного законодательства, противоречить антимонопольному законодательству, антимонопольному комплаенсу</w:t>
            </w:r>
          </w:p>
        </w:tc>
        <w:tc>
          <w:tcPr>
            <w:tcW w:w="2969" w:type="dxa"/>
          </w:tcPr>
          <w:p w14:paraId="05444080" w14:textId="77777777" w:rsidR="00B60900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0-внутренние документы не анализируются;</w:t>
            </w:r>
          </w:p>
          <w:p w14:paraId="266B11A5" w14:textId="77777777" w:rsidR="006C023D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1-внутренние документы анализируются, информация доводится до Главы;</w:t>
            </w:r>
          </w:p>
          <w:p w14:paraId="7490A1AF" w14:textId="77777777" w:rsidR="006C023D" w:rsidRPr="00E6284D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внутренние документы анализируются, информация доводится до Главы и сотрудников Администрации</w:t>
            </w:r>
          </w:p>
        </w:tc>
        <w:tc>
          <w:tcPr>
            <w:tcW w:w="1692" w:type="dxa"/>
          </w:tcPr>
          <w:p w14:paraId="6B979FFF" w14:textId="77777777" w:rsidR="00B60900" w:rsidRPr="00E6284D" w:rsidRDefault="00B60900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0841E436" w14:textId="77777777" w:rsidTr="003060C4">
        <w:tc>
          <w:tcPr>
            <w:tcW w:w="662" w:type="dxa"/>
          </w:tcPr>
          <w:p w14:paraId="1FC21B4E" w14:textId="77777777" w:rsidR="00240F2C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6" w:type="dxa"/>
          </w:tcPr>
          <w:p w14:paraId="749E519B" w14:textId="77777777" w:rsidR="00240F2C" w:rsidRPr="00E6284D" w:rsidRDefault="00B60900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нарушений антимонопольного законодательства со стороны Администрации по сравнению с прошлым годом</w:t>
            </w:r>
          </w:p>
        </w:tc>
        <w:tc>
          <w:tcPr>
            <w:tcW w:w="2969" w:type="dxa"/>
          </w:tcPr>
          <w:p w14:paraId="78AD9214" w14:textId="77777777" w:rsidR="00240F2C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0-количество нарушений по сравнению с прошлым годом увеличилось, осталось на прежнем уровне;</w:t>
            </w:r>
          </w:p>
          <w:p w14:paraId="35CA0353" w14:textId="77777777" w:rsidR="006C023D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1-количество нарушений по сравнению с прошлым годом снизилось;</w:t>
            </w:r>
          </w:p>
          <w:p w14:paraId="21EE5CF3" w14:textId="77777777" w:rsidR="006C023D" w:rsidRPr="00E6284D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2-нарушений в отчетном году не было</w:t>
            </w:r>
          </w:p>
        </w:tc>
        <w:tc>
          <w:tcPr>
            <w:tcW w:w="1692" w:type="dxa"/>
          </w:tcPr>
          <w:p w14:paraId="507088EE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1E6DD46C" w14:textId="77777777" w:rsidTr="003060C4">
        <w:tc>
          <w:tcPr>
            <w:tcW w:w="662" w:type="dxa"/>
          </w:tcPr>
          <w:p w14:paraId="62DCA59C" w14:textId="77777777" w:rsidR="003060C4" w:rsidRDefault="003060C4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6" w:type="dxa"/>
          </w:tcPr>
          <w:p w14:paraId="45CA4224" w14:textId="77777777" w:rsidR="003060C4" w:rsidRDefault="003060C4" w:rsidP="00EC6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доклада об антимонопольном комплаенсе</w:t>
            </w:r>
          </w:p>
        </w:tc>
        <w:tc>
          <w:tcPr>
            <w:tcW w:w="2969" w:type="dxa"/>
          </w:tcPr>
          <w:p w14:paraId="7B582B34" w14:textId="77777777" w:rsidR="003060C4" w:rsidRDefault="003060C4" w:rsidP="00EC61CE">
            <w:pPr>
              <w:pStyle w:val="a3"/>
              <w:numPr>
                <w:ilvl w:val="0"/>
                <w:numId w:val="9"/>
              </w:numPr>
              <w:ind w:left="17" w:hanging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не подготовлен;</w:t>
            </w:r>
          </w:p>
          <w:p w14:paraId="007E58B7" w14:textId="77777777" w:rsidR="003060C4" w:rsidRDefault="003060C4" w:rsidP="00EC61CE">
            <w:pPr>
              <w:pStyle w:val="a3"/>
              <w:numPr>
                <w:ilvl w:val="0"/>
                <w:numId w:val="9"/>
              </w:numPr>
              <w:ind w:left="17" w:hanging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подписан Главой района;</w:t>
            </w:r>
          </w:p>
          <w:p w14:paraId="0A1E0A79" w14:textId="77777777" w:rsidR="003060C4" w:rsidRPr="00E6284D" w:rsidRDefault="003060C4" w:rsidP="00EC61CE">
            <w:pPr>
              <w:pStyle w:val="a3"/>
              <w:numPr>
                <w:ilvl w:val="0"/>
                <w:numId w:val="9"/>
              </w:numPr>
              <w:ind w:left="17" w:hanging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подписан Главой района и утвержден коллегиальным органом</w:t>
            </w:r>
          </w:p>
        </w:tc>
        <w:tc>
          <w:tcPr>
            <w:tcW w:w="1692" w:type="dxa"/>
          </w:tcPr>
          <w:p w14:paraId="3D847AF5" w14:textId="77777777" w:rsidR="003060C4" w:rsidRPr="00E6284D" w:rsidRDefault="003060C4" w:rsidP="00EC6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17FE6573" w14:textId="77777777" w:rsidTr="003060C4">
        <w:trPr>
          <w:trHeight w:val="6787"/>
        </w:trPr>
        <w:tc>
          <w:tcPr>
            <w:tcW w:w="662" w:type="dxa"/>
          </w:tcPr>
          <w:p w14:paraId="767AF312" w14:textId="77777777" w:rsidR="003060C4" w:rsidRPr="00E6284D" w:rsidRDefault="003060C4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66" w:type="dxa"/>
          </w:tcPr>
          <w:p w14:paraId="65CBF073" w14:textId="77777777" w:rsidR="003060C4" w:rsidRPr="00E6284D" w:rsidRDefault="003060C4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конфликта интересов в деятельности служащих и структурных подразделений Администрации, разработка предложений по их исключению, проведение служебных проверок</w:t>
            </w:r>
          </w:p>
        </w:tc>
        <w:tc>
          <w:tcPr>
            <w:tcW w:w="2969" w:type="dxa"/>
          </w:tcPr>
          <w:p w14:paraId="5BD44FCE" w14:textId="77777777" w:rsidR="003060C4" w:rsidRDefault="003060C4" w:rsidP="00AC465B">
            <w:pPr>
              <w:pStyle w:val="a3"/>
              <w:numPr>
                <w:ilvl w:val="0"/>
                <w:numId w:val="10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конфликта интересов, служебные проверки не проводятся;</w:t>
            </w:r>
          </w:p>
          <w:p w14:paraId="7B067E7B" w14:textId="77777777" w:rsidR="003060C4" w:rsidRDefault="003060C4" w:rsidP="00AC465B">
            <w:pPr>
              <w:pStyle w:val="a3"/>
              <w:numPr>
                <w:ilvl w:val="0"/>
                <w:numId w:val="10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конфликта интересов, служебные проверки  проводятся;</w:t>
            </w:r>
          </w:p>
          <w:p w14:paraId="432F1D0F" w14:textId="1EE22764" w:rsidR="003060C4" w:rsidRDefault="003060C4" w:rsidP="00AC465B">
            <w:pPr>
              <w:pStyle w:val="a3"/>
              <w:numPr>
                <w:ilvl w:val="0"/>
                <w:numId w:val="10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конфликта интересов, служебные проверки проводятся, разрабатываются предложения по устранению нарушений, информация доводится до служащих Администрации</w:t>
            </w:r>
          </w:p>
          <w:p w14:paraId="017AA357" w14:textId="77777777" w:rsidR="003060C4" w:rsidRPr="00E6284D" w:rsidRDefault="003060C4" w:rsidP="00AC465B">
            <w:pPr>
              <w:pStyle w:val="a3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58D900BE" w14:textId="77777777" w:rsidR="003060C4" w:rsidRPr="00E6284D" w:rsidRDefault="003060C4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86A55A" w14:textId="77777777" w:rsidR="00240F2C" w:rsidRDefault="00E6284D" w:rsidP="00E62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D2A56" w:rsidRPr="00E6284D">
        <w:rPr>
          <w:rFonts w:ascii="Times New Roman" w:hAnsi="Times New Roman" w:cs="Times New Roman"/>
          <w:sz w:val="28"/>
          <w:szCs w:val="28"/>
        </w:rPr>
        <w:t>Заполняется при подготовке отчета об исполнении показателей эффективности функционирования антимонопольного комплаенса</w:t>
      </w:r>
      <w:r w:rsidR="003060C4">
        <w:rPr>
          <w:rFonts w:ascii="Times New Roman" w:hAnsi="Times New Roman" w:cs="Times New Roman"/>
          <w:sz w:val="28"/>
          <w:szCs w:val="28"/>
        </w:rPr>
        <w:t>.</w:t>
      </w:r>
    </w:p>
    <w:p w14:paraId="6982267D" w14:textId="77777777" w:rsidR="003060C4" w:rsidRDefault="003060C4" w:rsidP="00E628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0B7D79" w14:textId="77777777" w:rsidR="003060C4" w:rsidRDefault="003060C4" w:rsidP="00E628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D972A8" w14:textId="77777777" w:rsidR="003060C4" w:rsidRPr="00745E05" w:rsidRDefault="003060C4" w:rsidP="00E628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5E05">
        <w:rPr>
          <w:rFonts w:ascii="Times New Roman" w:hAnsi="Times New Roman" w:cs="Times New Roman"/>
          <w:b/>
          <w:sz w:val="28"/>
          <w:szCs w:val="28"/>
        </w:rPr>
        <w:t>Механизм оценки эффективности антимонопольного комплаенса:</w:t>
      </w:r>
    </w:p>
    <w:p w14:paraId="61107FDB" w14:textId="77777777" w:rsidR="003060C4" w:rsidRDefault="003060C4" w:rsidP="00E62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эффективности антимонопольного комплаенса Администрации – от </w:t>
      </w:r>
      <w:r w:rsidR="00745E05">
        <w:rPr>
          <w:rFonts w:ascii="Times New Roman" w:hAnsi="Times New Roman" w:cs="Times New Roman"/>
          <w:sz w:val="28"/>
          <w:szCs w:val="28"/>
        </w:rPr>
        <w:t>19 до 24 баллов;</w:t>
      </w:r>
    </w:p>
    <w:p w14:paraId="5105D2E5" w14:textId="77777777" w:rsidR="00745E05" w:rsidRDefault="00745E05" w:rsidP="00745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эффективности антимонопольного комплаенса Администрации – от 14 до 18 баллов;</w:t>
      </w:r>
    </w:p>
    <w:p w14:paraId="677868F7" w14:textId="77777777" w:rsidR="00745E05" w:rsidRDefault="00665686" w:rsidP="00745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</w:t>
      </w:r>
      <w:r w:rsidR="00745E05">
        <w:rPr>
          <w:rFonts w:ascii="Times New Roman" w:hAnsi="Times New Roman" w:cs="Times New Roman"/>
          <w:sz w:val="28"/>
          <w:szCs w:val="28"/>
        </w:rPr>
        <w:t>кий уровень эффективности антимонопольного комплаенса Администрации – менее 14 баллов.</w:t>
      </w:r>
    </w:p>
    <w:p w14:paraId="115FBA67" w14:textId="77777777" w:rsidR="00745E05" w:rsidRPr="00E6284D" w:rsidRDefault="00745E05" w:rsidP="00E6284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45E05" w:rsidRPr="00E6284D" w:rsidSect="00F245AC">
      <w:pgSz w:w="11906" w:h="16838"/>
      <w:pgMar w:top="567" w:right="964" w:bottom="142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E68"/>
    <w:multiLevelType w:val="hybridMultilevel"/>
    <w:tmpl w:val="B6149FEA"/>
    <w:lvl w:ilvl="0" w:tplc="BBDEAAC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758F"/>
    <w:multiLevelType w:val="hybridMultilevel"/>
    <w:tmpl w:val="DBFE3504"/>
    <w:lvl w:ilvl="0" w:tplc="66D20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753"/>
    <w:multiLevelType w:val="hybridMultilevel"/>
    <w:tmpl w:val="D854AC76"/>
    <w:lvl w:ilvl="0" w:tplc="4A86890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93A9D"/>
    <w:multiLevelType w:val="hybridMultilevel"/>
    <w:tmpl w:val="4DE82BF4"/>
    <w:lvl w:ilvl="0" w:tplc="BE624E8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2227A"/>
    <w:multiLevelType w:val="hybridMultilevel"/>
    <w:tmpl w:val="B2281426"/>
    <w:lvl w:ilvl="0" w:tplc="8F82D31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D08E0"/>
    <w:multiLevelType w:val="hybridMultilevel"/>
    <w:tmpl w:val="E744DC7C"/>
    <w:lvl w:ilvl="0" w:tplc="FD544D8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D06F7"/>
    <w:multiLevelType w:val="hybridMultilevel"/>
    <w:tmpl w:val="EBD627DC"/>
    <w:lvl w:ilvl="0" w:tplc="8F4E4E5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72187B"/>
    <w:multiLevelType w:val="hybridMultilevel"/>
    <w:tmpl w:val="B9266718"/>
    <w:lvl w:ilvl="0" w:tplc="0FA690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A147D"/>
    <w:multiLevelType w:val="hybridMultilevel"/>
    <w:tmpl w:val="10805D4A"/>
    <w:lvl w:ilvl="0" w:tplc="41E2CDE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B6808"/>
    <w:multiLevelType w:val="hybridMultilevel"/>
    <w:tmpl w:val="287C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0B1F"/>
    <w:multiLevelType w:val="hybridMultilevel"/>
    <w:tmpl w:val="B426BB36"/>
    <w:lvl w:ilvl="0" w:tplc="C4D24E1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355259">
    <w:abstractNumId w:val="9"/>
  </w:num>
  <w:num w:numId="2" w16cid:durableId="1185053963">
    <w:abstractNumId w:val="7"/>
  </w:num>
  <w:num w:numId="3" w16cid:durableId="138109281">
    <w:abstractNumId w:val="1"/>
  </w:num>
  <w:num w:numId="4" w16cid:durableId="1499926257">
    <w:abstractNumId w:val="0"/>
  </w:num>
  <w:num w:numId="5" w16cid:durableId="1077938298">
    <w:abstractNumId w:val="10"/>
  </w:num>
  <w:num w:numId="6" w16cid:durableId="1631085049">
    <w:abstractNumId w:val="4"/>
  </w:num>
  <w:num w:numId="7" w16cid:durableId="1459449955">
    <w:abstractNumId w:val="2"/>
  </w:num>
  <w:num w:numId="8" w16cid:durableId="54009154">
    <w:abstractNumId w:val="8"/>
  </w:num>
  <w:num w:numId="9" w16cid:durableId="1028484600">
    <w:abstractNumId w:val="5"/>
  </w:num>
  <w:num w:numId="10" w16cid:durableId="730228538">
    <w:abstractNumId w:val="3"/>
  </w:num>
  <w:num w:numId="11" w16cid:durableId="16397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2C"/>
    <w:rsid w:val="00023A84"/>
    <w:rsid w:val="00052CAC"/>
    <w:rsid w:val="00081677"/>
    <w:rsid w:val="0011456C"/>
    <w:rsid w:val="00115714"/>
    <w:rsid w:val="00163EFB"/>
    <w:rsid w:val="00183CC2"/>
    <w:rsid w:val="001B7F5D"/>
    <w:rsid w:val="001F5DAF"/>
    <w:rsid w:val="00240F2C"/>
    <w:rsid w:val="002443AA"/>
    <w:rsid w:val="002E6C91"/>
    <w:rsid w:val="00301074"/>
    <w:rsid w:val="003060C4"/>
    <w:rsid w:val="00325272"/>
    <w:rsid w:val="0039359D"/>
    <w:rsid w:val="004057FB"/>
    <w:rsid w:val="004540C7"/>
    <w:rsid w:val="004D3562"/>
    <w:rsid w:val="00531429"/>
    <w:rsid w:val="005B22DC"/>
    <w:rsid w:val="005F69CC"/>
    <w:rsid w:val="00614250"/>
    <w:rsid w:val="00617221"/>
    <w:rsid w:val="00665686"/>
    <w:rsid w:val="006C023D"/>
    <w:rsid w:val="00745E05"/>
    <w:rsid w:val="007554D8"/>
    <w:rsid w:val="007617CD"/>
    <w:rsid w:val="007F6589"/>
    <w:rsid w:val="00876D66"/>
    <w:rsid w:val="00883B51"/>
    <w:rsid w:val="00895D0D"/>
    <w:rsid w:val="008E2C43"/>
    <w:rsid w:val="009D2A56"/>
    <w:rsid w:val="009F6B2C"/>
    <w:rsid w:val="00AB2889"/>
    <w:rsid w:val="00AC465B"/>
    <w:rsid w:val="00AE7580"/>
    <w:rsid w:val="00B0272E"/>
    <w:rsid w:val="00B533E0"/>
    <w:rsid w:val="00B60900"/>
    <w:rsid w:val="00BA1223"/>
    <w:rsid w:val="00BB7492"/>
    <w:rsid w:val="00BD78BA"/>
    <w:rsid w:val="00C256F0"/>
    <w:rsid w:val="00CA3B3B"/>
    <w:rsid w:val="00CD2AEC"/>
    <w:rsid w:val="00CE6E09"/>
    <w:rsid w:val="00D7671C"/>
    <w:rsid w:val="00DE6550"/>
    <w:rsid w:val="00E34B09"/>
    <w:rsid w:val="00E47B5E"/>
    <w:rsid w:val="00E50431"/>
    <w:rsid w:val="00E6284D"/>
    <w:rsid w:val="00E709FD"/>
    <w:rsid w:val="00EA6737"/>
    <w:rsid w:val="00ED3E1E"/>
    <w:rsid w:val="00F245AC"/>
    <w:rsid w:val="00F3003B"/>
    <w:rsid w:val="00F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1D28"/>
  <w15:docId w15:val="{12096761-CDC8-4BAB-8B86-47E14A1D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6B2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9F6B2C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9F6B2C"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B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F6B2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6B2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6B2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6B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B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614250"/>
    <w:rPr>
      <w:rFonts w:ascii="Times New Roman" w:hAnsi="Times New Roman"/>
      <w:b/>
      <w:sz w:val="26"/>
    </w:rPr>
  </w:style>
  <w:style w:type="character" w:styleId="a6">
    <w:name w:val="Strong"/>
    <w:basedOn w:val="a0"/>
    <w:uiPriority w:val="22"/>
    <w:qFormat/>
    <w:rsid w:val="00614250"/>
    <w:rPr>
      <w:b/>
      <w:bCs/>
    </w:rPr>
  </w:style>
  <w:style w:type="table" w:styleId="a7">
    <w:name w:val="Table Grid"/>
    <w:basedOn w:val="a1"/>
    <w:uiPriority w:val="59"/>
    <w:rsid w:val="0024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Сухих Елена Ивановна</cp:lastModifiedBy>
  <cp:revision>15</cp:revision>
  <cp:lastPrinted>2022-01-24T09:40:00Z</cp:lastPrinted>
  <dcterms:created xsi:type="dcterms:W3CDTF">2021-10-05T06:54:00Z</dcterms:created>
  <dcterms:modified xsi:type="dcterms:W3CDTF">2025-03-14T07:29:00Z</dcterms:modified>
</cp:coreProperties>
</file>