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A77" w:rsidRDefault="00923A77" w:rsidP="00B259C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ПРАВИТЕЛЬСТВО УДМУРТСКОЙ РЕСПУБЛИКИ</w:t>
      </w:r>
    </w:p>
    <w:p w:rsidR="00923A77" w:rsidRDefault="00923A77" w:rsidP="00923A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ПОСТАНОВЛЕНИЕ</w:t>
      </w:r>
    </w:p>
    <w:p w:rsidR="00923A77" w:rsidRDefault="00923A77" w:rsidP="00923A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5 февраля 2018 г. </w:t>
      </w:r>
      <w:r w:rsidR="00AF0752">
        <w:rPr>
          <w:rFonts w:ascii="Arial" w:hAnsi="Arial" w:cs="Arial"/>
          <w:sz w:val="20"/>
          <w:szCs w:val="20"/>
        </w:rPr>
        <w:t xml:space="preserve">                     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N 23</w:t>
      </w:r>
    </w:p>
    <w:p w:rsidR="00923A77" w:rsidRDefault="00923A77" w:rsidP="00923A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923A77" w:rsidRDefault="00923A77" w:rsidP="00B259C4">
      <w:pPr>
        <w:pStyle w:val="a5"/>
        <w:jc w:val="center"/>
      </w:pPr>
      <w:r>
        <w:t>ОБ ОЦЕНКЕ ДЕЯТЕЛЬНОСТИ ОРГАНОВ МЕСТНОГО САМОУПРАВЛЕНИЯ</w:t>
      </w:r>
    </w:p>
    <w:p w:rsidR="00923A77" w:rsidRDefault="00923A77" w:rsidP="00B259C4">
      <w:pPr>
        <w:pStyle w:val="a5"/>
        <w:jc w:val="center"/>
      </w:pPr>
      <w:r>
        <w:t>МУНИЦИПАЛЬНЫХ РАЙОНОВ И ГОРОДСКИХ ОКРУГОВ</w:t>
      </w:r>
    </w:p>
    <w:p w:rsidR="00923A77" w:rsidRDefault="00923A77" w:rsidP="00B259C4">
      <w:pPr>
        <w:pStyle w:val="a5"/>
        <w:jc w:val="center"/>
      </w:pPr>
      <w:r>
        <w:t>В УДМУРТСКОЙ РЕСПУБЛИКЕ ПО ПРИВЛЕЧЕНИЮ ИНВЕСТИЦИЙ</w:t>
      </w:r>
    </w:p>
    <w:p w:rsidR="00923A77" w:rsidRDefault="00923A77" w:rsidP="00B259C4">
      <w:pPr>
        <w:pStyle w:val="a5"/>
        <w:jc w:val="center"/>
      </w:pPr>
      <w:r>
        <w:t>И НАРАЩИВАНИЮ НАЛОГОВОГО ПОТЕНЦИАЛА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целях </w:t>
      </w:r>
      <w:proofErr w:type="gramStart"/>
      <w:r>
        <w:rPr>
          <w:rFonts w:ascii="Arial" w:hAnsi="Arial" w:cs="Arial"/>
          <w:sz w:val="20"/>
          <w:szCs w:val="20"/>
        </w:rPr>
        <w:t>стимулирования деятельности органов местного самоуправления муниципальных районов</w:t>
      </w:r>
      <w:proofErr w:type="gramEnd"/>
      <w:r>
        <w:rPr>
          <w:rFonts w:ascii="Arial" w:hAnsi="Arial" w:cs="Arial"/>
          <w:sz w:val="20"/>
          <w:szCs w:val="20"/>
        </w:rPr>
        <w:t xml:space="preserve"> и городских округов в Удмуртской Республике по привлечению инвестиций и наращиванию налогового потенциала и реализации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Удмуртской Республики от 21 ноября 2006 года N 52-РЗ "О регулировании межбюджетных отношений в Удмуртской Республике" Правительство Удмуртской Республики постановляет: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Утвердить прилагаемые: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hyperlink w:anchor="Par33" w:history="1">
        <w:r>
          <w:rPr>
            <w:rFonts w:ascii="Arial" w:hAnsi="Arial" w:cs="Arial"/>
            <w:color w:val="0000FF"/>
            <w:sz w:val="20"/>
            <w:szCs w:val="20"/>
          </w:rPr>
          <w:t>Положение</w:t>
        </w:r>
      </w:hyperlink>
      <w:r>
        <w:rPr>
          <w:rFonts w:ascii="Arial" w:hAnsi="Arial" w:cs="Arial"/>
          <w:sz w:val="20"/>
          <w:szCs w:val="20"/>
        </w:rPr>
        <w:t xml:space="preserve"> о стимулировании развития муниципальных образований в Удмуртской Республике по результатам </w:t>
      </w:r>
      <w:proofErr w:type="gramStart"/>
      <w:r>
        <w:rPr>
          <w:rFonts w:ascii="Arial" w:hAnsi="Arial" w:cs="Arial"/>
          <w:sz w:val="20"/>
          <w:szCs w:val="20"/>
        </w:rPr>
        <w:t>оценки деятельности органов местного самоуправления муниципальных районов</w:t>
      </w:r>
      <w:proofErr w:type="gramEnd"/>
      <w:r>
        <w:rPr>
          <w:rFonts w:ascii="Arial" w:hAnsi="Arial" w:cs="Arial"/>
          <w:sz w:val="20"/>
          <w:szCs w:val="20"/>
        </w:rPr>
        <w:t xml:space="preserve"> и городских округов в Удмуртской Республике по привлечению инвестиций и наращиванию налогового потенциала;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hyperlink w:anchor="Par59" w:history="1">
        <w:r>
          <w:rPr>
            <w:rFonts w:ascii="Arial" w:hAnsi="Arial" w:cs="Arial"/>
            <w:color w:val="0000FF"/>
            <w:sz w:val="20"/>
            <w:szCs w:val="20"/>
          </w:rPr>
          <w:t>Методику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оценки деятельности органов местного самоуправления муниципальных районов</w:t>
      </w:r>
      <w:proofErr w:type="gramEnd"/>
      <w:r>
        <w:rPr>
          <w:rFonts w:ascii="Arial" w:hAnsi="Arial" w:cs="Arial"/>
          <w:sz w:val="20"/>
          <w:szCs w:val="20"/>
        </w:rPr>
        <w:t xml:space="preserve"> и городских округов в Удмуртской Республике по привлечению инвестиций и наращиванию налогового потенциала.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Министерству экономики Удмуртской Республики ежегодно: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осуществлять оценку деятельности органов местного самоуправления муниципальных районов и городских округов в Удмуртской Республике по привлечению инвестиций и наращиванию налогового потенциала до 1 июля года, следующего за </w:t>
      </w:r>
      <w:proofErr w:type="gramStart"/>
      <w:r>
        <w:rPr>
          <w:rFonts w:ascii="Arial" w:hAnsi="Arial" w:cs="Arial"/>
          <w:sz w:val="20"/>
          <w:szCs w:val="20"/>
        </w:rPr>
        <w:t>отчетным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представлять Главе Удмуртской Республики и Председателю Правительства Удмуртской Республики результаты оценки деятельности органов местного самоуправления муниципальных районов и городских округов в Удмуртской Республике по привлечению инвестиций и наращиванию налогового потенциала до 15 июля года, следующего </w:t>
      </w:r>
      <w:proofErr w:type="gramStart"/>
      <w:r>
        <w:rPr>
          <w:rFonts w:ascii="Arial" w:hAnsi="Arial" w:cs="Arial"/>
          <w:sz w:val="20"/>
          <w:szCs w:val="20"/>
        </w:rPr>
        <w:t>за</w:t>
      </w:r>
      <w:proofErr w:type="gramEnd"/>
      <w:r>
        <w:rPr>
          <w:rFonts w:ascii="Arial" w:hAnsi="Arial" w:cs="Arial"/>
          <w:sz w:val="20"/>
          <w:szCs w:val="20"/>
        </w:rPr>
        <w:t xml:space="preserve"> отчетным;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3) определять размеры дотаций муниципальным районам и городским округам, достигшим наилучших результатов оценки деятельности органов местного самоуправления муниципальных районов и городских округов в Удмуртской Республике по привлечению инвестиций и наращиванию налогового потенциала в соответствии с Положением о стимулировании развития муниципальных образований в Удмуртской Республике по результатам оценки деятельности органов местного самоуправления муниципальных</w:t>
      </w:r>
      <w:proofErr w:type="gramEnd"/>
      <w:r>
        <w:rPr>
          <w:rFonts w:ascii="Arial" w:hAnsi="Arial" w:cs="Arial"/>
          <w:sz w:val="20"/>
          <w:szCs w:val="20"/>
        </w:rPr>
        <w:t xml:space="preserve"> районов и городских округов в Удмуртской Республике по привлечению инвестиций и наращиванию налогового потенциала.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Председатель Правительства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Удмуртской Республики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Я.В.СЕМЕНОВ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Утверждено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постановлением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Правительства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Удмуртской Республики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5 февраля 2018 г. N 23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bookmarkStart w:id="1" w:name="Par33"/>
      <w:bookmarkEnd w:id="1"/>
      <w:r>
        <w:rPr>
          <w:rFonts w:ascii="Arial" w:hAnsi="Arial" w:cs="Arial"/>
          <w:sz w:val="20"/>
          <w:szCs w:val="20"/>
        </w:rPr>
        <w:t>ПОЛОЖЕНИЕ</w:t>
      </w:r>
    </w:p>
    <w:p w:rsidR="00923A77" w:rsidRDefault="00923A77" w:rsidP="00923A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СТИМУЛИРОВАНИИ РАЗВИТИЯ МУНИЦИПАЛЬНЫХ ОБРАЗОВАНИЙ</w:t>
      </w:r>
    </w:p>
    <w:p w:rsidR="00923A77" w:rsidRDefault="00923A77" w:rsidP="00923A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УДМУРТСКОЙ РЕСПУБЛИКЕ ПО РЕЗУЛЬТАТАМ ОЦЕНКИ ДЕЯТЕЛЬНОСТИ</w:t>
      </w:r>
    </w:p>
    <w:p w:rsidR="00923A77" w:rsidRDefault="00923A77" w:rsidP="00923A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ОРГАНОВ МЕСТНОГО САМОУПРАВЛЕНИЯ МУНИЦИПАЛЬНЫХ РАЙОНОВ</w:t>
      </w:r>
    </w:p>
    <w:p w:rsidR="00923A77" w:rsidRDefault="00923A77" w:rsidP="00923A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И ГОРОДСКИХ ОКРУГОВ В УДМУРТСКОЙ РЕСПУБЛИКЕ ПО ПРИВЛЕЧЕНИЮ</w:t>
      </w:r>
    </w:p>
    <w:p w:rsidR="00923A77" w:rsidRDefault="00923A77" w:rsidP="00923A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ИНВЕСТИЦИЙ И НАРАЩИВАНИЮ НАЛОГОВОГО ПОТЕНЦИАЛА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Настоящее Положение определяет порядок и условия предоставления дотаций для стимулирования развития муниципальных образований в Удмуртской Республике по результатам </w:t>
      </w:r>
      <w:proofErr w:type="gramStart"/>
      <w:r>
        <w:rPr>
          <w:rFonts w:ascii="Arial" w:hAnsi="Arial" w:cs="Arial"/>
          <w:sz w:val="20"/>
          <w:szCs w:val="20"/>
        </w:rPr>
        <w:t>оценки деятельности органов местного самоуправления муниципальных районов</w:t>
      </w:r>
      <w:proofErr w:type="gramEnd"/>
      <w:r>
        <w:rPr>
          <w:rFonts w:ascii="Arial" w:hAnsi="Arial" w:cs="Arial"/>
          <w:sz w:val="20"/>
          <w:szCs w:val="20"/>
        </w:rPr>
        <w:t xml:space="preserve"> и городских округов в Удмуртской Республике по привлечению инвестиций и наращиванию налогового потенциала (далее - дотации).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proofErr w:type="gramStart"/>
      <w:r>
        <w:rPr>
          <w:rFonts w:ascii="Arial" w:hAnsi="Arial" w:cs="Arial"/>
          <w:sz w:val="20"/>
          <w:szCs w:val="20"/>
        </w:rPr>
        <w:t>Распределение дотаций осуществляется на основании рейтинга муниципальных образований, составленного по результатам комплексной оценки деятельности органов местного самоуправления муниципальных районов и городских округов в Удмуртской Республике по привлечению инвестиций и наращиванию налогового потенциала, проводимой в соответствии с Методикой оценки деятельности органов местного самоуправления муниципальных районов и городских округов в Удмуртской Республике по привлечению инвестиций и наращиванию налогового потенциала.</w:t>
      </w:r>
      <w:proofErr w:type="gramEnd"/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Общая ежегодная сумма бюджетных средств для предоставления дотаций устанавливается </w:t>
      </w:r>
      <w:proofErr w:type="gramStart"/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Методикой</w:t>
        </w:r>
      </w:hyperlink>
      <w:r>
        <w:rPr>
          <w:rFonts w:ascii="Arial" w:hAnsi="Arial" w:cs="Arial"/>
          <w:sz w:val="20"/>
          <w:szCs w:val="20"/>
        </w:rPr>
        <w:t xml:space="preserve"> распределения дотаций из бюджета Удмуртской Республики для стимулирования развития муниципальных образований в Удмуртской Республике</w:t>
      </w:r>
      <w:proofErr w:type="gramEnd"/>
      <w:r>
        <w:rPr>
          <w:rFonts w:ascii="Arial" w:hAnsi="Arial" w:cs="Arial"/>
          <w:sz w:val="20"/>
          <w:szCs w:val="20"/>
        </w:rPr>
        <w:t>, утвержденной Законом Удмуртской Республики от 21 ноября 2006 года N 52-РЗ "О регулировании межбюджетных отношений в Удмуртской Республике".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Общая ежегодная сумма бюджетных сре</w:t>
      </w:r>
      <w:proofErr w:type="gramStart"/>
      <w:r>
        <w:rPr>
          <w:rFonts w:ascii="Arial" w:hAnsi="Arial" w:cs="Arial"/>
          <w:sz w:val="20"/>
          <w:szCs w:val="20"/>
        </w:rPr>
        <w:t>дств дл</w:t>
      </w:r>
      <w:proofErr w:type="gramEnd"/>
      <w:r>
        <w:rPr>
          <w:rFonts w:ascii="Arial" w:hAnsi="Arial" w:cs="Arial"/>
          <w:sz w:val="20"/>
          <w:szCs w:val="20"/>
        </w:rPr>
        <w:t>я предоставления дотаций распределяется по двум группам муниципальных образований в следующем соотношении: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городские округа - 50 процентов;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муниципальные районы - 50 процентов.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Дотации предоставляются в виде грантов пяти муниципальным районам и двум городским округам в Удмуртской Республике, достигшим наилучших результатов комплексной оценки деятельности по привлечению инвестиций и наращиванию налогового потенциала, пропорционально полученным результатам комплексной оценки.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Дотации рекомендуется направлять на реализацию следующих мероприятий: проведение работ по вовлечению в хозяйственный оборот объектов недвижимого имущества, выявлению и постановке на кадастровый учет незарегистрированных объектов недвижимости (в том числе земельных участков) в целях регистрации права на данные объекты, на реализацию мероприятий муниципального земельного контроля, материальное поощрение.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Утверждена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постановлением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Правительства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Удмуртской Республики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5 февраля 2018 г. N 23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bookmarkStart w:id="2" w:name="Par59"/>
      <w:bookmarkEnd w:id="2"/>
      <w:r>
        <w:rPr>
          <w:rFonts w:ascii="Arial" w:hAnsi="Arial" w:cs="Arial"/>
          <w:sz w:val="20"/>
          <w:szCs w:val="20"/>
        </w:rPr>
        <w:t>МЕТОДИКА</w:t>
      </w:r>
    </w:p>
    <w:p w:rsidR="00923A77" w:rsidRDefault="00923A77" w:rsidP="00923A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ОЦЕНКИ ДЕЯТЕЛЬНОСТИ ОРГАНОВ МЕСТНОГО САМОУПРАВЛЕНИЯ</w:t>
      </w:r>
    </w:p>
    <w:p w:rsidR="00923A77" w:rsidRDefault="00923A77" w:rsidP="00923A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МУНИЦИПАЛЬНЫХ РАЙОНОВ И ГОРОДСКИХ ОКРУГОВ</w:t>
      </w:r>
    </w:p>
    <w:p w:rsidR="00923A77" w:rsidRDefault="00923A77" w:rsidP="00923A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УДМУРТСКОЙ РЕСПУБЛИКЕ ПО ПРИВЛЕЧЕНИЮ ИНВЕСТИЦИЙ</w:t>
      </w:r>
    </w:p>
    <w:p w:rsidR="00923A77" w:rsidRDefault="00923A77" w:rsidP="00923A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НАРАЩИВАНИЮ НАЛОГОВОГО ПОТЕНЦИАЛА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Настоящая Методика устанавливает порядок </w:t>
      </w:r>
      <w:proofErr w:type="gramStart"/>
      <w:r>
        <w:rPr>
          <w:rFonts w:ascii="Arial" w:hAnsi="Arial" w:cs="Arial"/>
          <w:sz w:val="20"/>
          <w:szCs w:val="20"/>
        </w:rPr>
        <w:t>осуществления оценки деятельности органов местного самоуправления муниципальных районов</w:t>
      </w:r>
      <w:proofErr w:type="gramEnd"/>
      <w:r>
        <w:rPr>
          <w:rFonts w:ascii="Arial" w:hAnsi="Arial" w:cs="Arial"/>
          <w:sz w:val="20"/>
          <w:szCs w:val="20"/>
        </w:rPr>
        <w:t xml:space="preserve"> и городских округов в Удмуртской Республике по привлечению инвестиций и наращиванию налогового потенциала (далее соответственно - комплексная оценка).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Комплексная оценка осуществляется на основании трех групп показателей: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первая группа характеризует рост объема налоговых и неналоговых доходов консолидированного бюджета муниципального образования;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вторая группа характеризует динамику привлечения инвестиций, в том числе инвестиций на условиях </w:t>
      </w:r>
      <w:proofErr w:type="spellStart"/>
      <w:r>
        <w:rPr>
          <w:rFonts w:ascii="Arial" w:hAnsi="Arial" w:cs="Arial"/>
          <w:sz w:val="20"/>
          <w:szCs w:val="20"/>
        </w:rPr>
        <w:t>муниципально</w:t>
      </w:r>
      <w:proofErr w:type="spellEnd"/>
      <w:r>
        <w:rPr>
          <w:rFonts w:ascii="Arial" w:hAnsi="Arial" w:cs="Arial"/>
          <w:sz w:val="20"/>
          <w:szCs w:val="20"/>
        </w:rPr>
        <w:t>-частного партнерства (концессии);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третья группа показателей характеризует уровень содействия развитию конкуренции на основе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Стандарта</w:t>
        </w:r>
      </w:hyperlink>
      <w:r>
        <w:rPr>
          <w:rFonts w:ascii="Arial" w:hAnsi="Arial" w:cs="Arial"/>
          <w:sz w:val="20"/>
          <w:szCs w:val="20"/>
        </w:rPr>
        <w:t xml:space="preserve"> развития конкуренции в субъектах Российской Федерации, утвержденного распоряжением Правительства Российской Федерации от 5 сентября 2015 года N 1738-р (далее - Стандарт).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Перечень и вес показателей </w:t>
      </w:r>
      <w:proofErr w:type="gramStart"/>
      <w:r>
        <w:rPr>
          <w:rFonts w:ascii="Arial" w:hAnsi="Arial" w:cs="Arial"/>
          <w:sz w:val="20"/>
          <w:szCs w:val="20"/>
        </w:rPr>
        <w:t>приведены</w:t>
      </w:r>
      <w:proofErr w:type="gramEnd"/>
      <w:r>
        <w:rPr>
          <w:rFonts w:ascii="Arial" w:hAnsi="Arial" w:cs="Arial"/>
          <w:sz w:val="20"/>
          <w:szCs w:val="20"/>
        </w:rPr>
        <w:t xml:space="preserve"> в таблице 1.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bookmarkStart w:id="3" w:name="Par72"/>
      <w:bookmarkEnd w:id="3"/>
      <w:r>
        <w:rPr>
          <w:rFonts w:ascii="Arial" w:hAnsi="Arial" w:cs="Arial"/>
          <w:sz w:val="20"/>
          <w:szCs w:val="20"/>
        </w:rPr>
        <w:t>Таблица 1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587"/>
        <w:gridCol w:w="4422"/>
        <w:gridCol w:w="1644"/>
      </w:tblGrid>
      <w:tr w:rsidR="00923A7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Группа показателей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Вес группы показателей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Показатели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Вес показателя</w:t>
            </w:r>
          </w:p>
        </w:tc>
      </w:tr>
      <w:tr w:rsidR="00923A77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группа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4" w:name="Par80"/>
            <w:bookmarkEnd w:id="4"/>
            <w:r>
              <w:rPr>
                <w:rFonts w:ascii="Arial" w:hAnsi="Arial" w:cs="Arial"/>
                <w:sz w:val="20"/>
                <w:szCs w:val="20"/>
              </w:rPr>
              <w:t>1) темп роста объема налоговых и неналоговых доходов консолидированного бюджета муниципального образования в сопоставимых условиях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0,20</w:t>
            </w:r>
          </w:p>
        </w:tc>
      </w:tr>
      <w:tr w:rsidR="00923A77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5" w:name="Par82"/>
            <w:bookmarkEnd w:id="5"/>
            <w:r>
              <w:rPr>
                <w:rFonts w:ascii="Arial" w:hAnsi="Arial" w:cs="Arial"/>
                <w:sz w:val="20"/>
                <w:szCs w:val="20"/>
              </w:rPr>
              <w:t>2) темп роста объема имущественных налогов (налог на имущество физических лиц, земельный налог)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0,10</w:t>
            </w:r>
          </w:p>
        </w:tc>
      </w:tr>
      <w:tr w:rsidR="00923A77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группа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темп роста объема инвестиций в основной капитал (за исключением бюджетных средств)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923A77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6" w:name="Par88"/>
            <w:bookmarkEnd w:id="6"/>
            <w:r>
              <w:rPr>
                <w:rFonts w:ascii="Arial" w:hAnsi="Arial" w:cs="Arial"/>
                <w:sz w:val="20"/>
                <w:szCs w:val="20"/>
              </w:rPr>
              <w:t>4) объем инвестиций в основной капитал (за исключением бюджетных средств) на душу населения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923A77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7" w:name="Par90"/>
            <w:bookmarkEnd w:id="7"/>
            <w:r>
              <w:rPr>
                <w:rFonts w:ascii="Arial" w:hAnsi="Arial" w:cs="Arial"/>
                <w:sz w:val="20"/>
                <w:szCs w:val="20"/>
              </w:rPr>
              <w:t xml:space="preserve">5) темп роста инвестиций в проекты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муниципально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-частного партнерства (концессии)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0,10</w:t>
            </w:r>
          </w:p>
        </w:tc>
      </w:tr>
      <w:tr w:rsidR="00923A77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группа </w:t>
            </w:r>
            <w:hyperlink w:anchor="Par9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8" w:name="Par94"/>
            <w:bookmarkEnd w:id="8"/>
            <w:r>
              <w:rPr>
                <w:rFonts w:ascii="Arial" w:hAnsi="Arial" w:cs="Arial"/>
                <w:sz w:val="20"/>
                <w:szCs w:val="20"/>
              </w:rPr>
              <w:t xml:space="preserve">6) оценка реализации в муниципальном образовании составляющих </w:t>
            </w: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Стандарта</w:t>
              </w:r>
            </w:hyperlink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0,30</w:t>
            </w:r>
          </w:p>
        </w:tc>
      </w:tr>
      <w:tr w:rsidR="00923A77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9" w:name="Par96"/>
            <w:bookmarkEnd w:id="9"/>
            <w:r>
              <w:rPr>
                <w:rFonts w:ascii="Arial" w:hAnsi="Arial" w:cs="Arial"/>
                <w:sz w:val="20"/>
                <w:szCs w:val="20"/>
              </w:rPr>
              <w:t>7) оценка эффективности деятельности по созданию благоприятных условий для развития конкуренции в муниципальных образованиях</w:t>
            </w: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0" w:name="Par99"/>
      <w:bookmarkEnd w:id="10"/>
      <w:r>
        <w:rPr>
          <w:rFonts w:ascii="Arial" w:hAnsi="Arial" w:cs="Arial"/>
          <w:sz w:val="20"/>
          <w:szCs w:val="20"/>
        </w:rPr>
        <w:t xml:space="preserve">&lt;*&gt; </w:t>
      </w:r>
      <w:hyperlink w:anchor="Par94" w:history="1">
        <w:r>
          <w:rPr>
            <w:rFonts w:ascii="Arial" w:hAnsi="Arial" w:cs="Arial"/>
            <w:color w:val="0000FF"/>
            <w:sz w:val="20"/>
            <w:szCs w:val="20"/>
          </w:rPr>
          <w:t>Показатели 6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96" w:history="1">
        <w:r>
          <w:rPr>
            <w:rFonts w:ascii="Arial" w:hAnsi="Arial" w:cs="Arial"/>
            <w:color w:val="0000FF"/>
            <w:sz w:val="20"/>
            <w:szCs w:val="20"/>
          </w:rPr>
          <w:t>7</w:t>
        </w:r>
      </w:hyperlink>
      <w:r>
        <w:rPr>
          <w:rFonts w:ascii="Arial" w:hAnsi="Arial" w:cs="Arial"/>
          <w:sz w:val="20"/>
          <w:szCs w:val="20"/>
        </w:rPr>
        <w:t xml:space="preserve"> третьей группы оцениваются как сводный показатель.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Взаимодействие при проведении комплексной оценки осуществляется в следующем порядке: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Министерство финансов Удмуртской Республики ежегодно в срок до 15 мая года, следующего за отчетным, представляет в Министерство экономики Удмуртской Республики сведения о значениях </w:t>
      </w:r>
      <w:hyperlink w:anchor="Par80" w:history="1">
        <w:r>
          <w:rPr>
            <w:rFonts w:ascii="Arial" w:hAnsi="Arial" w:cs="Arial"/>
            <w:color w:val="0000FF"/>
            <w:sz w:val="20"/>
            <w:szCs w:val="20"/>
          </w:rPr>
          <w:t>показателей 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82" w:history="1">
        <w:r>
          <w:rPr>
            <w:rFonts w:ascii="Arial" w:hAnsi="Arial" w:cs="Arial"/>
            <w:color w:val="0000FF"/>
            <w:sz w:val="20"/>
            <w:szCs w:val="20"/>
          </w:rPr>
          <w:t>2 таблицы 1</w:t>
        </w:r>
      </w:hyperlink>
      <w:r>
        <w:rPr>
          <w:rFonts w:ascii="Arial" w:hAnsi="Arial" w:cs="Arial"/>
          <w:sz w:val="20"/>
          <w:szCs w:val="20"/>
        </w:rPr>
        <w:t xml:space="preserve"> по итогам отчетного года и года, предшествующего </w:t>
      </w:r>
      <w:proofErr w:type="gramStart"/>
      <w:r>
        <w:rPr>
          <w:rFonts w:ascii="Arial" w:hAnsi="Arial" w:cs="Arial"/>
          <w:sz w:val="20"/>
          <w:szCs w:val="20"/>
        </w:rPr>
        <w:t>отчетному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органы местного самоуправления муниципальных районов и городских округов в Удмуртской Республике (далее также - муниципальные образования) ежегодно представляют в Министерство экономики Удмуртской Республики: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срок до 1 июня года, следующего за отчетным, информацию об объеме инвестиций в проекты </w:t>
      </w:r>
      <w:proofErr w:type="spellStart"/>
      <w:r>
        <w:rPr>
          <w:rFonts w:ascii="Arial" w:hAnsi="Arial" w:cs="Arial"/>
          <w:sz w:val="20"/>
          <w:szCs w:val="20"/>
        </w:rPr>
        <w:t>муниципально</w:t>
      </w:r>
      <w:proofErr w:type="spellEnd"/>
      <w:r>
        <w:rPr>
          <w:rFonts w:ascii="Arial" w:hAnsi="Arial" w:cs="Arial"/>
          <w:sz w:val="20"/>
          <w:szCs w:val="20"/>
        </w:rPr>
        <w:t xml:space="preserve">-частного партнерства (концессии) по итогам отчетного года и года, предшествующего </w:t>
      </w:r>
      <w:proofErr w:type="gramStart"/>
      <w:r>
        <w:rPr>
          <w:rFonts w:ascii="Arial" w:hAnsi="Arial" w:cs="Arial"/>
          <w:sz w:val="20"/>
          <w:szCs w:val="20"/>
        </w:rPr>
        <w:t>отчетному</w:t>
      </w:r>
      <w:proofErr w:type="gramEnd"/>
      <w:r>
        <w:rPr>
          <w:rFonts w:ascii="Arial" w:hAnsi="Arial" w:cs="Arial"/>
          <w:sz w:val="20"/>
          <w:szCs w:val="20"/>
        </w:rPr>
        <w:t xml:space="preserve">, для расчета </w:t>
      </w:r>
      <w:hyperlink w:anchor="Par90" w:history="1">
        <w:r>
          <w:rPr>
            <w:rFonts w:ascii="Arial" w:hAnsi="Arial" w:cs="Arial"/>
            <w:color w:val="0000FF"/>
            <w:sz w:val="20"/>
            <w:szCs w:val="20"/>
          </w:rPr>
          <w:t>показателя 5 таблицы 1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срок до 15 апреля года, следующего за отчетным, информацию в порядке и по формам, установленным Министерством экономики Удмуртской Республики, для оценки достижения </w:t>
      </w:r>
      <w:hyperlink w:anchor="Par94" w:history="1">
        <w:r>
          <w:rPr>
            <w:rFonts w:ascii="Arial" w:hAnsi="Arial" w:cs="Arial"/>
            <w:color w:val="0000FF"/>
            <w:sz w:val="20"/>
            <w:szCs w:val="20"/>
          </w:rPr>
          <w:t>показателей 6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96" w:history="1">
        <w:r>
          <w:rPr>
            <w:rFonts w:ascii="Arial" w:hAnsi="Arial" w:cs="Arial"/>
            <w:color w:val="0000FF"/>
            <w:sz w:val="20"/>
            <w:szCs w:val="20"/>
          </w:rPr>
          <w:t>7 таблицы 1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4. Комплексная оценка за отчетный финансовый год осуществляется в следующем порядке: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сбор и анализ информации для проведения оценки за отчетный год и за год, предшествующий отчетному;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расчет </w:t>
      </w:r>
      <w:proofErr w:type="gramStart"/>
      <w:r>
        <w:rPr>
          <w:rFonts w:ascii="Arial" w:hAnsi="Arial" w:cs="Arial"/>
          <w:sz w:val="20"/>
          <w:szCs w:val="20"/>
        </w:rPr>
        <w:t>значений показателей комплексной оценки деятельности органов местного самоуправления муниципальных образований</w:t>
      </w:r>
      <w:proofErr w:type="gramEnd"/>
      <w:r>
        <w:rPr>
          <w:rFonts w:ascii="Arial" w:hAnsi="Arial" w:cs="Arial"/>
          <w:sz w:val="20"/>
          <w:szCs w:val="20"/>
        </w:rPr>
        <w:t xml:space="preserve"> по привлечению инвестиций и увеличению налогового потенциала и результата комплексной оценки;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рейтинга муниципальных образований по результатам комплексной оценки.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Комплексная оценка производится по двум группам муниципальных образований: городские округа и муниципальные районы.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Выстраивание рейтинга осуществляется в порядке убывания в соответствии с полученными результатами комплексной оценки. Муниципальному образованию с наибольшим результатом комплексной оценки присваивается 1 место.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одинаковом результате комплексной оценки более высокое место в рейтинге присваивается муниципальному образованию с наибольшим значением </w:t>
      </w:r>
      <w:hyperlink w:anchor="Par88" w:history="1">
        <w:r>
          <w:rPr>
            <w:rFonts w:ascii="Arial" w:hAnsi="Arial" w:cs="Arial"/>
            <w:color w:val="0000FF"/>
            <w:sz w:val="20"/>
            <w:szCs w:val="20"/>
          </w:rPr>
          <w:t>показателя 4 таблицы 1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Рейтинг муниципальных образований, составленный по результатам комплексной </w:t>
      </w:r>
      <w:proofErr w:type="gramStart"/>
      <w:r>
        <w:rPr>
          <w:rFonts w:ascii="Arial" w:hAnsi="Arial" w:cs="Arial"/>
          <w:sz w:val="20"/>
          <w:szCs w:val="20"/>
        </w:rPr>
        <w:t>оценки деятельности органов местного самоуправления муниципальных районов</w:t>
      </w:r>
      <w:proofErr w:type="gramEnd"/>
      <w:r>
        <w:rPr>
          <w:rFonts w:ascii="Arial" w:hAnsi="Arial" w:cs="Arial"/>
          <w:sz w:val="20"/>
          <w:szCs w:val="20"/>
        </w:rPr>
        <w:t xml:space="preserve"> и городских округов в Удмуртской Республике по привлечению инвестиций и наращиванию налогового потенциала, размещается на официальном сайте Министерства экономики Удмуртской Республики в информационно-телекоммуникационной сети "Интернет".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Комплексная оценка рассчитывается по формуле: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9"/>
          <w:sz w:val="20"/>
          <w:szCs w:val="20"/>
          <w:lang w:eastAsia="ru-RU"/>
        </w:rPr>
        <w:drawing>
          <wp:inline distT="0" distB="0" distL="0" distR="0">
            <wp:extent cx="1066800" cy="2476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где: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К</w:t>
      </w:r>
      <w:proofErr w:type="gramStart"/>
      <w:r>
        <w:rPr>
          <w:rFonts w:ascii="Arial" w:hAnsi="Arial" w:cs="Arial"/>
          <w:sz w:val="20"/>
          <w:szCs w:val="20"/>
          <w:vertAlign w:val="subscript"/>
        </w:rPr>
        <w:t>i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- комплексная оценка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в группе городских округов или муниципальных районов;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9"/>
          <w:sz w:val="20"/>
          <w:szCs w:val="20"/>
          <w:lang w:eastAsia="ru-RU"/>
        </w:rPr>
        <w:drawing>
          <wp:inline distT="0" distB="0" distL="0" distR="0">
            <wp:extent cx="266700" cy="2476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- приведенная оценка n-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показателя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в группе городских округов или муниципальных районов, в процентах;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 - номер показателя </w:t>
      </w:r>
      <w:hyperlink w:anchor="Par72" w:history="1">
        <w:r>
          <w:rPr>
            <w:rFonts w:ascii="Arial" w:hAnsi="Arial" w:cs="Arial"/>
            <w:color w:val="0000FF"/>
            <w:sz w:val="20"/>
            <w:szCs w:val="20"/>
          </w:rPr>
          <w:t>(таблица 1)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  <w:vertAlign w:val="superscript"/>
        </w:rPr>
        <w:t>n</w:t>
      </w:r>
      <w:proofErr w:type="spellEnd"/>
      <w:r>
        <w:rPr>
          <w:rFonts w:ascii="Arial" w:hAnsi="Arial" w:cs="Arial"/>
          <w:sz w:val="20"/>
          <w:szCs w:val="20"/>
        </w:rPr>
        <w:t xml:space="preserve"> - вес показателя </w:t>
      </w:r>
      <w:hyperlink w:anchor="Par72" w:history="1">
        <w:r>
          <w:rPr>
            <w:rFonts w:ascii="Arial" w:hAnsi="Arial" w:cs="Arial"/>
            <w:color w:val="0000FF"/>
            <w:sz w:val="20"/>
            <w:szCs w:val="20"/>
          </w:rPr>
          <w:t>(таблица 1)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Приведенная оценка n-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показателя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в группе городских округов или муниципальных районов рассчитывается по формуле: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26"/>
          <w:sz w:val="20"/>
          <w:szCs w:val="20"/>
          <w:lang w:eastAsia="ru-RU"/>
        </w:rPr>
        <w:drawing>
          <wp:inline distT="0" distB="0" distL="0" distR="0">
            <wp:extent cx="1238250" cy="4572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где: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9"/>
          <w:sz w:val="20"/>
          <w:szCs w:val="20"/>
          <w:lang w:eastAsia="ru-RU"/>
        </w:rPr>
        <w:drawing>
          <wp:inline distT="0" distB="0" distL="0" distR="0">
            <wp:extent cx="266700" cy="2476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- приведенная оценка n-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показателя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в группе городских округов или муниципальных районов, в процентах;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209550" cy="2286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- оценка n-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показателя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9"/>
          <w:sz w:val="20"/>
          <w:szCs w:val="20"/>
          <w:lang w:eastAsia="ru-RU"/>
        </w:rPr>
        <w:drawing>
          <wp:inline distT="0" distB="0" distL="0" distR="0">
            <wp:extent cx="323850" cy="2476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- максимальная оценка n-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показателя в группе городских округов или муниципальных районов.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Оценка показателей осуществляется в следующем порядке: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оценка показателя "Темп роста объема налоговых и неналоговых доходов консолидированного бюджета муниципального образования в сопоставимых условиях" рассчитывается по формуле: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24"/>
          <w:sz w:val="20"/>
          <w:szCs w:val="20"/>
          <w:lang w:eastAsia="ru-RU"/>
        </w:rPr>
        <w:drawing>
          <wp:inline distT="0" distB="0" distL="0" distR="0">
            <wp:extent cx="1276350" cy="4381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где: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8"/>
          <w:sz w:val="20"/>
          <w:szCs w:val="20"/>
          <w:lang w:eastAsia="ru-RU"/>
        </w:rPr>
        <w:lastRenderedPageBreak/>
        <w:drawing>
          <wp:inline distT="0" distB="0" distL="0" distR="0">
            <wp:extent cx="190500" cy="2286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- оценка показателя "Темп роста объема налоговых и неналоговых доходов консолидированного бюджета муниципального образования в сопоставимых условиях"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образования, в процентах;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ОДБ</w:t>
      </w:r>
      <w:proofErr w:type="gramStart"/>
      <w:r>
        <w:rPr>
          <w:rFonts w:ascii="Arial" w:hAnsi="Arial" w:cs="Arial"/>
          <w:sz w:val="20"/>
          <w:szCs w:val="20"/>
          <w:vertAlign w:val="subscript"/>
        </w:rPr>
        <w:t>oi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- объем налоговых и неналоговых доходов консолидированного бюджета в сопоставимых условиях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за отчетный финансовый год;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ОДБ</w:t>
      </w:r>
      <w:r>
        <w:rPr>
          <w:rFonts w:ascii="Arial" w:hAnsi="Arial" w:cs="Arial"/>
          <w:sz w:val="20"/>
          <w:szCs w:val="20"/>
          <w:vertAlign w:val="subscript"/>
        </w:rPr>
        <w:t>п</w:t>
      </w:r>
      <w:proofErr w:type="gramStart"/>
      <w:r>
        <w:rPr>
          <w:rFonts w:ascii="Arial" w:hAnsi="Arial" w:cs="Arial"/>
          <w:sz w:val="20"/>
          <w:szCs w:val="20"/>
          <w:vertAlign w:val="subscript"/>
        </w:rPr>
        <w:t>i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- объем налоговых и неналоговых доходов консолидированного бюджета в сопоставимых условиях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за год, предшествующий отчетному финансовому году;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расчете указанного показателя используются данные отчета об исполнении консолидированного бюджета субъекта Российской Федерации и бюджета территориального государственного внебюджетного фонда (форма по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ОКУД</w:t>
        </w:r>
      </w:hyperlink>
      <w:r>
        <w:rPr>
          <w:rFonts w:ascii="Arial" w:hAnsi="Arial" w:cs="Arial"/>
          <w:sz w:val="20"/>
          <w:szCs w:val="20"/>
        </w:rPr>
        <w:t xml:space="preserve">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0503317</w:t>
        </w:r>
      </w:hyperlink>
      <w:r>
        <w:rPr>
          <w:rFonts w:ascii="Arial" w:hAnsi="Arial" w:cs="Arial"/>
          <w:sz w:val="20"/>
          <w:szCs w:val="20"/>
        </w:rPr>
        <w:t>);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случае внесения изменений в законодательство о налогах и сборах, приводящих к изменению порядка зачисления либо нормативов распределения налоговых и неналоговых доходов между бюджетами бюджетной системы, объем налоговых и неналоговых доходов консолидированного бюджета муниципального образования за год, предшествующий отчетному финансовому году, приводится в сопоставимые условия с объемом налоговых и неналоговых доходов отчетного финансового года;</w:t>
      </w:r>
      <w:proofErr w:type="gramEnd"/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оценка показателя "Темп роста объема имущественных налогов (налог на имущество физических лиц, земельный налог)" рассчитывается по формуле: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24"/>
          <w:sz w:val="20"/>
          <w:szCs w:val="20"/>
          <w:lang w:eastAsia="ru-RU"/>
        </w:rPr>
        <w:drawing>
          <wp:inline distT="0" distB="0" distL="0" distR="0">
            <wp:extent cx="1333500" cy="4381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где: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209550" cy="2286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- оценка показателя "Темп роста объема имущественных налогов (налог на имущество физических лиц, земельный налог)"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образования, в процентах;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ОИН</w:t>
      </w:r>
      <w:r>
        <w:rPr>
          <w:rFonts w:ascii="Arial" w:hAnsi="Arial" w:cs="Arial"/>
          <w:sz w:val="20"/>
          <w:szCs w:val="20"/>
          <w:vertAlign w:val="subscript"/>
        </w:rPr>
        <w:t>о</w:t>
      </w:r>
      <w:proofErr w:type="gramStart"/>
      <w:r>
        <w:rPr>
          <w:rFonts w:ascii="Arial" w:hAnsi="Arial" w:cs="Arial"/>
          <w:sz w:val="20"/>
          <w:szCs w:val="20"/>
          <w:vertAlign w:val="subscript"/>
        </w:rPr>
        <w:t>i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- объем имущественных налогов, в том числе налога на имущество физических лиц и земельного налога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за отчетный финансовый год;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ОИН</w:t>
      </w:r>
      <w:r>
        <w:rPr>
          <w:rFonts w:ascii="Arial" w:hAnsi="Arial" w:cs="Arial"/>
          <w:sz w:val="20"/>
          <w:szCs w:val="20"/>
          <w:vertAlign w:val="subscript"/>
        </w:rPr>
        <w:t>п</w:t>
      </w:r>
      <w:proofErr w:type="gramStart"/>
      <w:r>
        <w:rPr>
          <w:rFonts w:ascii="Arial" w:hAnsi="Arial" w:cs="Arial"/>
          <w:sz w:val="20"/>
          <w:szCs w:val="20"/>
          <w:vertAlign w:val="subscript"/>
        </w:rPr>
        <w:t>i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- объем имущественных налогов, в том числе налога на имущество физических лиц и земельного налога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за год, предшествующий отчетному финансовому году;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оценка показателя "Темп роста объема инвестиций в основной капитал (за исключением бюджетных средств)" рассчитывается по формуле: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24"/>
          <w:sz w:val="20"/>
          <w:szCs w:val="20"/>
          <w:lang w:eastAsia="ru-RU"/>
        </w:rPr>
        <w:drawing>
          <wp:inline distT="0" distB="0" distL="0" distR="0">
            <wp:extent cx="1200150" cy="4381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где: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209550" cy="228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- оценка показателя "Темп роста объема инвестиций в основной капитал (за исключением бюджетных средств)"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образования, в процентах;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ОК</w:t>
      </w:r>
      <w:proofErr w:type="gramStart"/>
      <w:r>
        <w:rPr>
          <w:rFonts w:ascii="Arial" w:hAnsi="Arial" w:cs="Arial"/>
          <w:sz w:val="20"/>
          <w:szCs w:val="20"/>
          <w:vertAlign w:val="subscript"/>
        </w:rPr>
        <w:t>oi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- объем инвестиций в основной капитал (за исключением бюджетных средств)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за отчетный финансовый год;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ОК</w:t>
      </w:r>
      <w:r>
        <w:rPr>
          <w:rFonts w:ascii="Arial" w:hAnsi="Arial" w:cs="Arial"/>
          <w:sz w:val="20"/>
          <w:szCs w:val="20"/>
          <w:vertAlign w:val="subscript"/>
        </w:rPr>
        <w:t>п</w:t>
      </w:r>
      <w:proofErr w:type="gramStart"/>
      <w:r>
        <w:rPr>
          <w:rFonts w:ascii="Arial" w:hAnsi="Arial" w:cs="Arial"/>
          <w:sz w:val="20"/>
          <w:szCs w:val="20"/>
          <w:vertAlign w:val="subscript"/>
        </w:rPr>
        <w:t>i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- объем инвестиций в основной капитал (за исключением бюджетных средств)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за год, предшествующий отчетному финансовому году;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оценка показателя "Объем инвестиций в основной капитал (за исключением бюджетных средств) на душу населения" рассчитывается по формуле: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24"/>
          <w:sz w:val="20"/>
          <w:szCs w:val="20"/>
          <w:lang w:eastAsia="ru-RU"/>
        </w:rPr>
        <w:drawing>
          <wp:inline distT="0" distB="0" distL="0" distR="0">
            <wp:extent cx="1219200" cy="4381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где: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209550" cy="228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- оценка показателя "Объем инвестиций в основной капитал (за исключением бюджетных средств) на душу населения"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образования, в рублях;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ОК</w:t>
      </w:r>
      <w:proofErr w:type="gramStart"/>
      <w:r>
        <w:rPr>
          <w:rFonts w:ascii="Arial" w:hAnsi="Arial" w:cs="Arial"/>
          <w:sz w:val="20"/>
          <w:szCs w:val="20"/>
          <w:vertAlign w:val="subscript"/>
        </w:rPr>
        <w:t>oi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- объем инвестиций в основной капитал (за исключением бюджетных средств)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за отчетный финансовый год;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ЧН</w:t>
      </w:r>
      <w:proofErr w:type="gramStart"/>
      <w:r>
        <w:rPr>
          <w:rFonts w:ascii="Arial" w:hAnsi="Arial" w:cs="Arial"/>
          <w:sz w:val="20"/>
          <w:szCs w:val="20"/>
          <w:vertAlign w:val="subscript"/>
        </w:rPr>
        <w:t>oi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- численность постоянного населения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на конец отчетного года;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5) оценка показателя "Темп роста инвестиций в проекты </w:t>
      </w:r>
      <w:proofErr w:type="spellStart"/>
      <w:r>
        <w:rPr>
          <w:rFonts w:ascii="Arial" w:hAnsi="Arial" w:cs="Arial"/>
          <w:sz w:val="20"/>
          <w:szCs w:val="20"/>
        </w:rPr>
        <w:t>муниципально</w:t>
      </w:r>
      <w:proofErr w:type="spellEnd"/>
      <w:r>
        <w:rPr>
          <w:rFonts w:ascii="Arial" w:hAnsi="Arial" w:cs="Arial"/>
          <w:sz w:val="20"/>
          <w:szCs w:val="20"/>
        </w:rPr>
        <w:t>-частного партнерства (концессии)" рассчитывается по формуле: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24"/>
          <w:sz w:val="20"/>
          <w:szCs w:val="20"/>
          <w:lang w:eastAsia="ru-RU"/>
        </w:rPr>
        <w:drawing>
          <wp:inline distT="0" distB="0" distL="0" distR="0">
            <wp:extent cx="1466850" cy="4381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где: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209550" cy="228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- оценка показателя "Темп роста инвестиций в проекты </w:t>
      </w:r>
      <w:proofErr w:type="spellStart"/>
      <w:r>
        <w:rPr>
          <w:rFonts w:ascii="Arial" w:hAnsi="Arial" w:cs="Arial"/>
          <w:sz w:val="20"/>
          <w:szCs w:val="20"/>
        </w:rPr>
        <w:t>муниципально</w:t>
      </w:r>
      <w:proofErr w:type="spellEnd"/>
      <w:r>
        <w:rPr>
          <w:rFonts w:ascii="Arial" w:hAnsi="Arial" w:cs="Arial"/>
          <w:sz w:val="20"/>
          <w:szCs w:val="20"/>
        </w:rPr>
        <w:t>-частного партнерства (концессии)"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образования, в процентах;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ИМЧП</w:t>
      </w:r>
      <w:proofErr w:type="gramStart"/>
      <w:r>
        <w:rPr>
          <w:rFonts w:ascii="Arial" w:hAnsi="Arial" w:cs="Arial"/>
          <w:sz w:val="20"/>
          <w:szCs w:val="20"/>
          <w:vertAlign w:val="subscript"/>
        </w:rPr>
        <w:t>oi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- объем инвестиций в проекты </w:t>
      </w:r>
      <w:proofErr w:type="spellStart"/>
      <w:r>
        <w:rPr>
          <w:rFonts w:ascii="Arial" w:hAnsi="Arial" w:cs="Arial"/>
          <w:sz w:val="20"/>
          <w:szCs w:val="20"/>
        </w:rPr>
        <w:t>муниципально</w:t>
      </w:r>
      <w:proofErr w:type="spellEnd"/>
      <w:r>
        <w:rPr>
          <w:rFonts w:ascii="Arial" w:hAnsi="Arial" w:cs="Arial"/>
          <w:sz w:val="20"/>
          <w:szCs w:val="20"/>
        </w:rPr>
        <w:t>-частного партнерства (концессии)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за отчетный финансовый год;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ИМЧП</w:t>
      </w:r>
      <w:r>
        <w:rPr>
          <w:rFonts w:ascii="Arial" w:hAnsi="Arial" w:cs="Arial"/>
          <w:sz w:val="20"/>
          <w:szCs w:val="20"/>
          <w:vertAlign w:val="subscript"/>
        </w:rPr>
        <w:t>п</w:t>
      </w:r>
      <w:proofErr w:type="gramStart"/>
      <w:r>
        <w:rPr>
          <w:rFonts w:ascii="Arial" w:hAnsi="Arial" w:cs="Arial"/>
          <w:sz w:val="20"/>
          <w:szCs w:val="20"/>
          <w:vertAlign w:val="subscript"/>
        </w:rPr>
        <w:t>i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- объем инвестиций в проекты </w:t>
      </w:r>
      <w:proofErr w:type="spellStart"/>
      <w:r>
        <w:rPr>
          <w:rFonts w:ascii="Arial" w:hAnsi="Arial" w:cs="Arial"/>
          <w:sz w:val="20"/>
          <w:szCs w:val="20"/>
        </w:rPr>
        <w:t>муниципально</w:t>
      </w:r>
      <w:proofErr w:type="spellEnd"/>
      <w:r>
        <w:rPr>
          <w:rFonts w:ascii="Arial" w:hAnsi="Arial" w:cs="Arial"/>
          <w:sz w:val="20"/>
          <w:szCs w:val="20"/>
        </w:rPr>
        <w:t>-частного партнерства (концессии)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за год, предшествующий отчетному финансовому году;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6) оценка сводного показателя (на основе </w:t>
      </w:r>
      <w:hyperlink w:anchor="Par94" w:history="1">
        <w:r>
          <w:rPr>
            <w:rFonts w:ascii="Arial" w:hAnsi="Arial" w:cs="Arial"/>
            <w:color w:val="0000FF"/>
            <w:sz w:val="20"/>
            <w:szCs w:val="20"/>
          </w:rPr>
          <w:t>показателей 6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96" w:history="1">
        <w:r>
          <w:rPr>
            <w:rFonts w:ascii="Arial" w:hAnsi="Arial" w:cs="Arial"/>
            <w:color w:val="0000FF"/>
            <w:sz w:val="20"/>
            <w:szCs w:val="20"/>
          </w:rPr>
          <w:t>7 таблицы 1</w:t>
        </w:r>
      </w:hyperlink>
      <w:r>
        <w:rPr>
          <w:rFonts w:ascii="Arial" w:hAnsi="Arial" w:cs="Arial"/>
          <w:sz w:val="20"/>
          <w:szCs w:val="20"/>
        </w:rPr>
        <w:t>)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по уровню содействия развитию конкуренции на основе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Стандарта</w:t>
        </w:r>
      </w:hyperlink>
      <w:r>
        <w:rPr>
          <w:rFonts w:ascii="Arial" w:hAnsi="Arial" w:cs="Arial"/>
          <w:sz w:val="20"/>
          <w:szCs w:val="20"/>
        </w:rPr>
        <w:t xml:space="preserve"> рассчитывается по формуле: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23"/>
          <w:sz w:val="20"/>
          <w:szCs w:val="20"/>
          <w:lang w:eastAsia="ru-RU"/>
        </w:rPr>
        <w:drawing>
          <wp:inline distT="0" distB="0" distL="0" distR="0">
            <wp:extent cx="1200150" cy="419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где: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228600" cy="228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- оценка сводного показателя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по уровню содействия развитию конкуренции на основе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Стандарта</w:t>
        </w:r>
      </w:hyperlink>
      <w:r>
        <w:rPr>
          <w:rFonts w:ascii="Arial" w:hAnsi="Arial" w:cs="Arial"/>
          <w:sz w:val="20"/>
          <w:szCs w:val="20"/>
        </w:rPr>
        <w:t>, в процентах;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28575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- значение </w:t>
      </w:r>
      <w:hyperlink w:anchor="Par94" w:history="1">
        <w:r>
          <w:rPr>
            <w:rFonts w:ascii="Arial" w:hAnsi="Arial" w:cs="Arial"/>
            <w:color w:val="0000FF"/>
            <w:sz w:val="20"/>
            <w:szCs w:val="20"/>
          </w:rPr>
          <w:t>показателя 6</w:t>
        </w:r>
      </w:hyperlink>
      <w:r>
        <w:rPr>
          <w:rFonts w:ascii="Arial" w:hAnsi="Arial" w:cs="Arial"/>
          <w:sz w:val="20"/>
          <w:szCs w:val="20"/>
        </w:rPr>
        <w:t xml:space="preserve"> "Оценка реализации в муниципальном образовании составляющих Стандарта"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за отчетный год, в процентах;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285750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- значение </w:t>
      </w:r>
      <w:hyperlink w:anchor="Par96" w:history="1">
        <w:r>
          <w:rPr>
            <w:rFonts w:ascii="Arial" w:hAnsi="Arial" w:cs="Arial"/>
            <w:color w:val="0000FF"/>
            <w:sz w:val="20"/>
            <w:szCs w:val="20"/>
          </w:rPr>
          <w:t>показателя 7</w:t>
        </w:r>
      </w:hyperlink>
      <w:r>
        <w:rPr>
          <w:rFonts w:ascii="Arial" w:hAnsi="Arial" w:cs="Arial"/>
          <w:sz w:val="20"/>
          <w:szCs w:val="20"/>
        </w:rPr>
        <w:t xml:space="preserve"> "Оценка эффективности деятельности по созданию благоприятных условий для развития конкуренции в муниципальных образованиях"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за отчетный год, в процентах.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 результатам оценки сводного показателя на основе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Стандарта</w:t>
        </w:r>
      </w:hyperlink>
      <w:r>
        <w:rPr>
          <w:rFonts w:ascii="Arial" w:hAnsi="Arial" w:cs="Arial"/>
          <w:sz w:val="20"/>
          <w:szCs w:val="20"/>
        </w:rPr>
        <w:t xml:space="preserve"> формируется самостоятельный рейтинг муниципальных образований в Удмуртской Республике по уровню содействия развитию конкуренции: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муниципальным районам: с 1 по 25 место;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городским округам: с 1 по 5 место.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Муниципальному образованию с наибольшим значением сводного показателя присваивается 1 место. При одинаковом результате сводного показателя более высокое место в рейтинге присваивается муниципальному образованию с наибольшим значением </w:t>
      </w:r>
      <w:hyperlink w:anchor="Par94" w:history="1">
        <w:r>
          <w:rPr>
            <w:rFonts w:ascii="Arial" w:hAnsi="Arial" w:cs="Arial"/>
            <w:color w:val="0000FF"/>
            <w:sz w:val="20"/>
            <w:szCs w:val="20"/>
          </w:rPr>
          <w:t>показателя 6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6.1. Значение </w:t>
      </w:r>
      <w:hyperlink w:anchor="Par94" w:history="1">
        <w:r>
          <w:rPr>
            <w:rFonts w:ascii="Arial" w:hAnsi="Arial" w:cs="Arial"/>
            <w:color w:val="0000FF"/>
            <w:sz w:val="20"/>
            <w:szCs w:val="20"/>
          </w:rPr>
          <w:t>показателя 6</w:t>
        </w:r>
      </w:hyperlink>
      <w:r>
        <w:rPr>
          <w:rFonts w:ascii="Arial" w:hAnsi="Arial" w:cs="Arial"/>
          <w:sz w:val="20"/>
          <w:szCs w:val="20"/>
        </w:rPr>
        <w:t xml:space="preserve"> "Оценка реализации в муниципальном образовании составляющих Стандарта" определяется на основе сведений о реализации составляющих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</w:rPr>
          <w:t>Стандарта</w:t>
        </w:r>
      </w:hyperlink>
      <w:r>
        <w:rPr>
          <w:rFonts w:ascii="Arial" w:hAnsi="Arial" w:cs="Arial"/>
          <w:sz w:val="20"/>
          <w:szCs w:val="20"/>
        </w:rPr>
        <w:t xml:space="preserve">, указанных в </w:t>
      </w:r>
      <w:hyperlink w:anchor="Par187" w:history="1">
        <w:r>
          <w:rPr>
            <w:rFonts w:ascii="Arial" w:hAnsi="Arial" w:cs="Arial"/>
            <w:color w:val="0000FF"/>
            <w:sz w:val="20"/>
            <w:szCs w:val="20"/>
          </w:rPr>
          <w:t>таблице 2</w:t>
        </w:r>
      </w:hyperlink>
      <w:r>
        <w:rPr>
          <w:rFonts w:ascii="Arial" w:hAnsi="Arial" w:cs="Arial"/>
          <w:sz w:val="20"/>
          <w:szCs w:val="20"/>
        </w:rPr>
        <w:t>, и рассчитывается по формуле: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30"/>
          <w:sz w:val="20"/>
          <w:szCs w:val="20"/>
          <w:lang w:eastAsia="ru-RU"/>
        </w:rPr>
        <w:drawing>
          <wp:inline distT="0" distB="0" distL="0" distR="0">
            <wp:extent cx="990600" cy="514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где: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28575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- оценка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по реализации составляющих </w:t>
      </w:r>
      <w:hyperlink r:id="rId36" w:history="1">
        <w:r>
          <w:rPr>
            <w:rFonts w:ascii="Arial" w:hAnsi="Arial" w:cs="Arial"/>
            <w:color w:val="0000FF"/>
            <w:sz w:val="20"/>
            <w:szCs w:val="20"/>
          </w:rPr>
          <w:t>Стандарта</w:t>
        </w:r>
      </w:hyperlink>
      <w:r>
        <w:rPr>
          <w:rFonts w:ascii="Arial" w:hAnsi="Arial" w:cs="Arial"/>
          <w:sz w:val="20"/>
          <w:szCs w:val="20"/>
        </w:rPr>
        <w:t>, в процентах;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О</w:t>
      </w:r>
      <w:proofErr w:type="gramEnd"/>
      <w:r>
        <w:rPr>
          <w:rFonts w:ascii="Arial" w:hAnsi="Arial" w:cs="Arial"/>
          <w:sz w:val="20"/>
          <w:szCs w:val="20"/>
          <w:vertAlign w:val="subscript"/>
        </w:rPr>
        <w:t>ij</w:t>
      </w:r>
      <w:proofErr w:type="spellEnd"/>
      <w:r>
        <w:rPr>
          <w:rFonts w:ascii="Arial" w:hAnsi="Arial" w:cs="Arial"/>
          <w:sz w:val="20"/>
          <w:szCs w:val="20"/>
        </w:rPr>
        <w:t xml:space="preserve"> - оценка реализации j-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показателя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в отчетном году, в баллах;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 - показатели, указанные в </w:t>
      </w:r>
      <w:hyperlink w:anchor="Par187" w:history="1">
        <w:r>
          <w:rPr>
            <w:rFonts w:ascii="Arial" w:hAnsi="Arial" w:cs="Arial"/>
            <w:color w:val="0000FF"/>
            <w:sz w:val="20"/>
            <w:szCs w:val="20"/>
          </w:rPr>
          <w:t>таблице 2</w:t>
        </w:r>
      </w:hyperlink>
      <w:r>
        <w:rPr>
          <w:rFonts w:ascii="Arial" w:hAnsi="Arial" w:cs="Arial"/>
          <w:sz w:val="20"/>
          <w:szCs w:val="20"/>
        </w:rPr>
        <w:t xml:space="preserve"> и учитываемые в ходе оценки i-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муниципального образования по реализации составляющих </w:t>
      </w:r>
      <w:hyperlink r:id="rId37" w:history="1">
        <w:r>
          <w:rPr>
            <w:rFonts w:ascii="Arial" w:hAnsi="Arial" w:cs="Arial"/>
            <w:color w:val="0000FF"/>
            <w:sz w:val="20"/>
            <w:szCs w:val="20"/>
          </w:rPr>
          <w:t>Стандарта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11,6 - максимально возможное значение оценки реализации </w:t>
      </w:r>
      <w:hyperlink r:id="rId38" w:history="1">
        <w:r>
          <w:rPr>
            <w:rFonts w:ascii="Arial" w:hAnsi="Arial" w:cs="Arial"/>
            <w:color w:val="0000FF"/>
            <w:sz w:val="20"/>
            <w:szCs w:val="20"/>
          </w:rPr>
          <w:t>Стандарта</w:t>
        </w:r>
      </w:hyperlink>
      <w:r>
        <w:rPr>
          <w:rFonts w:ascii="Arial" w:hAnsi="Arial" w:cs="Arial"/>
          <w:sz w:val="20"/>
          <w:szCs w:val="20"/>
        </w:rPr>
        <w:t xml:space="preserve"> согласно таблице 2.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bookmarkStart w:id="11" w:name="Par187"/>
      <w:bookmarkEnd w:id="11"/>
      <w:r>
        <w:rPr>
          <w:rFonts w:ascii="Arial" w:hAnsi="Arial" w:cs="Arial"/>
          <w:sz w:val="20"/>
          <w:szCs w:val="20"/>
        </w:rPr>
        <w:t>Таблица 2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690"/>
        <w:gridCol w:w="1020"/>
        <w:gridCol w:w="850"/>
      </w:tblGrid>
      <w:tr w:rsidR="00923A77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6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Оценка реализации показателя (баллы)</w:t>
            </w:r>
          </w:p>
        </w:tc>
      </w:tr>
      <w:tr w:rsidR="00923A77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923A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Наличие соглашения между Министерством экономики Удмуртской Республики (далее - Уполномоченный орган) и муниципальным образованием о внедрении в Удмуртской Республике </w:t>
            </w:r>
            <w:hyperlink r:id="rId3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развития конкуренции в субъектах Российской Федерации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23A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Наличие координационного органа, созданного в муниципальном образовании для рассмотрения вопросов по содействию развитию конкуренции (далее - Координационный орган МО), в том числе: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23A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наличие протокольных решений Координационного органа МО по обсуждению вопросов внедрения </w:t>
            </w:r>
            <w:hyperlink r:id="rId4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и содействия развитию конкуренции на территории муниципального образования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A77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включение в состав Координационного органа МО: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A77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0" w:type="dxa"/>
            <w:tcBorders>
              <w:left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представителей общественных организаций, действующих в интересах предпринимателей и потребителей товаров (работ, услуг);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+0,2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A77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представителей объединений промышленников, сельскохозяйственных производителей, крестьянских (фермерских) хозяйств, сельскохозяйственных кооперативов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+0,2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A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Определение в органе местного самоуправления муниципального образования структурного подразделения, ответственного за разработку и реализацию мер по содействию развитию конкуренции в муниципальном образовании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A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определение в органе местного самоуправления муниципального образования должностного лица (на уровне заместителя главы муниципального образования), курирующего вопросы разработки и реализацию мер по содействию развитию конкуренции, внедрения </w:t>
            </w:r>
            <w:hyperlink r:id="rId4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Стандарта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A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Наличие утвержденного плана по внедрению в муниципальном образовании </w:t>
            </w:r>
            <w:hyperlink r:id="rId4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, а также: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23A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наличие в документах стратегического планирования и программных документах муниципального образования раздела по вопросам развития конкуренции на территории муниципального образования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A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наличие плана по реализации мероприятий, определяемых </w:t>
            </w:r>
            <w:hyperlink r:id="rId4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распоряжением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Главы Удмуртской Республики от 29 октября 2015 года N 421-РГ "Об утверждении Плана мероприятий ("дорожной карты") по содействию развитию конкуренции в Удмуртской Республике" (далее - Дорожная карта по содействию развитию конкуренции на приоритетных и социально значимых рынках Удмуртской Республики)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A77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Участие специалистов органа местного самоуправления муниципальных образований в обучающих мероприятиях и тренингах по вопросам содействия конкуренции: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A77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организованных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Уполномоченным органом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23A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организованных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органом местного самоуправления муниципального образования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+0,2 за каждое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A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Наличие утвержденного плана практических мероприятий (комплексного плана) по эффективному управлению хозяйствующих субъектов, акции (доли в уставных капиталах) которых находятся в собственности муниципального образования (в том числе доля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участия муниципального образования в которых составляет 50 и более процентов), включающего в себя ключевые показатели эффективности деятельности, а также меры по ограничению влияния данных предприятий на условия формирования рыночных отношений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23A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ежегодного мониторинга состояния и развития конкуренции на территории муниципального образования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23A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Наличие утвержденного Координационным органом МО ежегодного доклада о состоянии и развитии конкуренции на территории муниципального образования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A77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Направление в Уполномоченный орган предложений (с обоснованием), подготовленных по результатам мониторинга и (или) исходя из приоритетов инвестиционного и стратегического развития: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A77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0" w:type="dxa"/>
            <w:tcBorders>
              <w:left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 дополнению </w:t>
            </w:r>
            <w:hyperlink r:id="rId4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Перечня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приоритетных и социально значимых рынков для содействия развитию конкуренции в Удмуртской Республике, утвержденного распоряжением Главы Удмуртской Республики от 30 июля 2015 года N 276-РГ;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+0,2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A77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 актуализации мероприятий (системных мероприятий) и целевых показателей эффективности развития конкуренции Дорожной </w:t>
            </w:r>
            <w:hyperlink r:id="rId4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карты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 содействию развитию конкуренции на приоритетных и социально значимых рынках Удмуртской Республики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+0,3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A77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Участие в реализации системных мероприятий Дорожной </w:t>
            </w:r>
            <w:hyperlink r:id="rId4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карты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 содействию развитию конкуренции на приоритетных и социально значимых рынках Удмуртской Республики: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A77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отражение проведенных мероприятий в ежегодном отчете, направляемом в Уполномоченный орган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23A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Наличие на официальном сайте муниципального образования раздела, созданного для отражения деятельности по содействию развитию конкуренции, проводимой в Удмуртской Республике, муниципальном образовании, а также: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23A77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перехода с официального сайта (раздела официального сайта) муниципального образования на раздел "Стандарт развития конкуренции" официального сайта Уполномоченного органа;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+0,1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A77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обновление информации в указанном разделе не реже 1 раза в квартал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+0,2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A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наличие в указанном разделе информации о субъектах естественных монополий, осуществляющих деятельность на территории муниципального образования, и муниципальных рынках, на которых присутствуют субъекты естественных монополий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A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учета общественного мнения при согласовании и утверждении схем территориального планирования муниципальных районов, генеральных планов поселений и городских округов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77" w:rsidRDefault="0092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6.2. Значение </w:t>
      </w:r>
      <w:hyperlink w:anchor="Par96" w:history="1">
        <w:r>
          <w:rPr>
            <w:rFonts w:ascii="Arial" w:hAnsi="Arial" w:cs="Arial"/>
            <w:color w:val="0000FF"/>
            <w:sz w:val="20"/>
            <w:szCs w:val="20"/>
          </w:rPr>
          <w:t>показателя 7</w:t>
        </w:r>
      </w:hyperlink>
      <w:r>
        <w:rPr>
          <w:rFonts w:ascii="Arial" w:hAnsi="Arial" w:cs="Arial"/>
          <w:sz w:val="20"/>
          <w:szCs w:val="20"/>
        </w:rPr>
        <w:t xml:space="preserve"> "Оценка эффективности деятельности по созданию благоприятных условий для развития конкуренции в муниципальных образованиях" за отчетный год рассчитывается по формуле: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27"/>
          <w:sz w:val="20"/>
          <w:szCs w:val="20"/>
          <w:lang w:eastAsia="ru-RU"/>
        </w:rPr>
        <w:drawing>
          <wp:inline distT="0" distB="0" distL="0" distR="0">
            <wp:extent cx="1447800" cy="476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где: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28575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- оценка эффективности деятельности по созданию благоприятных условий для развития конкуренции в i-м муниципальном образовании, в процентах;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j - порядковый номер показателя, включенного в соглашение между Министерством экономики Удмуртской Республики и i-м муниципальным образованием о внедрении в Удмуртской Республике </w:t>
      </w:r>
      <w:hyperlink r:id="rId49" w:history="1">
        <w:r>
          <w:rPr>
            <w:rFonts w:ascii="Arial" w:hAnsi="Arial" w:cs="Arial"/>
            <w:color w:val="0000FF"/>
            <w:sz w:val="20"/>
            <w:szCs w:val="20"/>
          </w:rPr>
          <w:t>Стандарта</w:t>
        </w:r>
      </w:hyperlink>
      <w:r>
        <w:rPr>
          <w:rFonts w:ascii="Arial" w:hAnsi="Arial" w:cs="Arial"/>
          <w:sz w:val="20"/>
          <w:szCs w:val="20"/>
        </w:rPr>
        <w:t xml:space="preserve"> развития конкуренции в субъектах Российской Федерации (далее - Соглашение), учитываемого в рамках оценки;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- количество целевых показателей, установленных в Соглашении и учитываемых в ходе оценки;</w:t>
      </w:r>
    </w:p>
    <w:p w:rsidR="00923A77" w:rsidRDefault="00923A77" w:rsidP="00923A7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  <w:vertAlign w:val="subscript"/>
        </w:rPr>
        <w:t>ij</w:t>
      </w:r>
      <w:proofErr w:type="spellEnd"/>
      <w:r>
        <w:rPr>
          <w:rFonts w:ascii="Arial" w:hAnsi="Arial" w:cs="Arial"/>
          <w:sz w:val="20"/>
          <w:szCs w:val="20"/>
        </w:rPr>
        <w:t xml:space="preserve"> - доля достигнутого j-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показателя эффективности, установленного в Соглашении, i-м муниципальным образованием в отчетном году.</w:t>
      </w: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3A77" w:rsidRDefault="00923A77" w:rsidP="00923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64CDF" w:rsidRDefault="00464CDF"/>
    <w:sectPr w:rsidR="00464CDF" w:rsidSect="00923A77">
      <w:pgSz w:w="11906" w:h="16838"/>
      <w:pgMar w:top="567" w:right="56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C3E"/>
    <w:rsid w:val="00331C3E"/>
    <w:rsid w:val="00464CDF"/>
    <w:rsid w:val="00923A77"/>
    <w:rsid w:val="00AF0752"/>
    <w:rsid w:val="00B2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A7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259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A7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259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hyperlink" Target="consultantplus://offline/ref=70FB888CA14F089EC09F5F5950C2745CEBF9468A11A4D36DA2BC1FB87F91F9652724CBDDE31070FFaAa6M" TargetMode="External"/><Relationship Id="rId39" Type="http://schemas.openxmlformats.org/officeDocument/2006/relationships/hyperlink" Target="consultantplus://offline/ref=70FB888CA14F089EC09F5F5950C2745CEBF9468A11A4D36DA2BC1FB87F91F9652724CBDDE31070FFaAa6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wmf"/><Relationship Id="rId34" Type="http://schemas.openxmlformats.org/officeDocument/2006/relationships/image" Target="media/image20.wmf"/><Relationship Id="rId42" Type="http://schemas.openxmlformats.org/officeDocument/2006/relationships/hyperlink" Target="consultantplus://offline/ref=70FB888CA14F089EC09F5F5950C2745CEBF9468A11A4D36DA2BC1FB87F91F9652724CBDDE31070FFaAa6M" TargetMode="External"/><Relationship Id="rId47" Type="http://schemas.openxmlformats.org/officeDocument/2006/relationships/image" Target="media/image22.wmf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70FB888CA14F089EC09F5F5950C2745CEBF9468A11A4D36DA2BC1FB87F91F9652724CBDDE31070FFaAa6M" TargetMode="External"/><Relationship Id="rId12" Type="http://schemas.openxmlformats.org/officeDocument/2006/relationships/image" Target="media/image4.wmf"/><Relationship Id="rId17" Type="http://schemas.openxmlformats.org/officeDocument/2006/relationships/hyperlink" Target="consultantplus://offline/ref=70FB888CA14F089EC09F5F5950C2745CEBF046851BA0D36DA2BC1FB87F91F9652724CBDDE31672FAaAa1M" TargetMode="External"/><Relationship Id="rId25" Type="http://schemas.openxmlformats.org/officeDocument/2006/relationships/image" Target="media/image15.wmf"/><Relationship Id="rId33" Type="http://schemas.openxmlformats.org/officeDocument/2006/relationships/hyperlink" Target="consultantplus://offline/ref=70FB888CA14F089EC09F5F5950C2745CEBF9468A11A4D36DA2BC1FB87F91F9652724CBDDE31070FFaAa6M" TargetMode="External"/><Relationship Id="rId38" Type="http://schemas.openxmlformats.org/officeDocument/2006/relationships/hyperlink" Target="consultantplus://offline/ref=70FB888CA14F089EC09F5F5950C2745CEBF9468A11A4D36DA2BC1FB87F91F9652724CBDDE31070FFaAa6M" TargetMode="External"/><Relationship Id="rId46" Type="http://schemas.openxmlformats.org/officeDocument/2006/relationships/hyperlink" Target="consultantplus://offline/ref=70FB888CA14F089EC09F415446AE2A54EAF21C8F18A2D83BF9E019EF20C1FF306764CD88A0547DFFA673988Ba2aD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0FB888CA14F089EC09F5F5950C2745CEBF041861CABD36DA2BC1FB87Fa9a1M" TargetMode="External"/><Relationship Id="rId20" Type="http://schemas.openxmlformats.org/officeDocument/2006/relationships/image" Target="media/image10.wmf"/><Relationship Id="rId29" Type="http://schemas.openxmlformats.org/officeDocument/2006/relationships/hyperlink" Target="consultantplus://offline/ref=70FB888CA14F089EC09F5F5950C2745CEBF9468A11A4D36DA2BC1FB87F91F9652724CBDDE31070FFaAa6M" TargetMode="External"/><Relationship Id="rId41" Type="http://schemas.openxmlformats.org/officeDocument/2006/relationships/hyperlink" Target="consultantplus://offline/ref=70FB888CA14F089EC09F5F5950C2745CEBF9468A11A4D36DA2BC1FB87F91F9652724CBDDE31070FFaAa6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0FB888CA14F089EC09F415446AE2A54EAF21C8F10AADE3AF9E344E52898F332606B929FA71D71FEA77198a8a8M" TargetMode="External"/><Relationship Id="rId11" Type="http://schemas.openxmlformats.org/officeDocument/2006/relationships/image" Target="media/image3.wmf"/><Relationship Id="rId24" Type="http://schemas.openxmlformats.org/officeDocument/2006/relationships/image" Target="media/image14.wmf"/><Relationship Id="rId32" Type="http://schemas.openxmlformats.org/officeDocument/2006/relationships/hyperlink" Target="consultantplus://offline/ref=70FB888CA14F089EC09F5F5950C2745CEBF9468A11A4D36DA2BC1FB87F91F9652724CBDDE31070FFaAa6M" TargetMode="External"/><Relationship Id="rId37" Type="http://schemas.openxmlformats.org/officeDocument/2006/relationships/hyperlink" Target="consultantplus://offline/ref=70FB888CA14F089EC09F5F5950C2745CEBF9468A11A4D36DA2BC1FB87F91F9652724CBDDE31070FFaAa6M" TargetMode="External"/><Relationship Id="rId40" Type="http://schemas.openxmlformats.org/officeDocument/2006/relationships/hyperlink" Target="consultantplus://offline/ref=70FB888CA14F089EC09F5F5950C2745CEBF9468A11A4D36DA2BC1FB87F91F9652724CBDDE31070FFaAa6M" TargetMode="External"/><Relationship Id="rId45" Type="http://schemas.openxmlformats.org/officeDocument/2006/relationships/hyperlink" Target="consultantplus://offline/ref=70FB888CA14F089EC09F415446AE2A54EAF21C8F18A2D83BF9E019EF20C1FF306764CD88A0547DFFA673988Ba2aDM" TargetMode="External"/><Relationship Id="rId5" Type="http://schemas.openxmlformats.org/officeDocument/2006/relationships/hyperlink" Target="consultantplus://offline/ref=70FB888CA14F089EC09F415446AE2A54EAF21C8F10AADE3AF9E344E52898F332606B929FA71D71FEA77197a8a8M" TargetMode="External"/><Relationship Id="rId15" Type="http://schemas.openxmlformats.org/officeDocument/2006/relationships/image" Target="media/image7.wmf"/><Relationship Id="rId23" Type="http://schemas.openxmlformats.org/officeDocument/2006/relationships/image" Target="media/image13.wmf"/><Relationship Id="rId28" Type="http://schemas.openxmlformats.org/officeDocument/2006/relationships/image" Target="media/image17.wmf"/><Relationship Id="rId36" Type="http://schemas.openxmlformats.org/officeDocument/2006/relationships/hyperlink" Target="consultantplus://offline/ref=70FB888CA14F089EC09F5F5950C2745CEBF9468A11A4D36DA2BC1FB87F91F9652724CBDDE31070FFaAa6M" TargetMode="External"/><Relationship Id="rId49" Type="http://schemas.openxmlformats.org/officeDocument/2006/relationships/hyperlink" Target="consultantplus://offline/ref=70FB888CA14F089EC09F5F5950C2745CEBF9468A11A4D36DA2BC1FB87F91F9652724CBDDE31070FFaAa6M" TargetMode="External"/><Relationship Id="rId10" Type="http://schemas.openxmlformats.org/officeDocument/2006/relationships/image" Target="media/image2.wmf"/><Relationship Id="rId19" Type="http://schemas.openxmlformats.org/officeDocument/2006/relationships/image" Target="media/image9.wmf"/><Relationship Id="rId31" Type="http://schemas.openxmlformats.org/officeDocument/2006/relationships/image" Target="media/image19.wmf"/><Relationship Id="rId44" Type="http://schemas.openxmlformats.org/officeDocument/2006/relationships/hyperlink" Target="consultantplus://offline/ref=70FB888CA14F089EC09F415446AE2A54EAF21C8F10ABD13DFEE344E52898F332606B929FA71D71FEA6719Ca8aC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2.wmf"/><Relationship Id="rId27" Type="http://schemas.openxmlformats.org/officeDocument/2006/relationships/image" Target="media/image16.wmf"/><Relationship Id="rId30" Type="http://schemas.openxmlformats.org/officeDocument/2006/relationships/image" Target="media/image18.wmf"/><Relationship Id="rId35" Type="http://schemas.openxmlformats.org/officeDocument/2006/relationships/image" Target="media/image21.wmf"/><Relationship Id="rId43" Type="http://schemas.openxmlformats.org/officeDocument/2006/relationships/hyperlink" Target="consultantplus://offline/ref=70FB888CA14F089EC09F415446AE2A54EAF21C8F18A2D83BF9E019EF20C1FF3067a6a4M" TargetMode="External"/><Relationship Id="rId48" Type="http://schemas.openxmlformats.org/officeDocument/2006/relationships/image" Target="media/image23.wmf"/><Relationship Id="rId8" Type="http://schemas.openxmlformats.org/officeDocument/2006/relationships/hyperlink" Target="consultantplus://offline/ref=70FB888CA14F089EC09F5F5950C2745CEBF9468A11A4D36DA2BC1FB87F91F9652724CBDDE31070FFaAa6M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3805</Words>
  <Characters>21694</Characters>
  <Application>Microsoft Office Word</Application>
  <DocSecurity>0</DocSecurity>
  <Lines>180</Lines>
  <Paragraphs>50</Paragraphs>
  <ScaleCrop>false</ScaleCrop>
  <Company/>
  <LinksUpToDate>false</LinksUpToDate>
  <CharactersWithSpaces>25449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2018-07-31T12:27:00Z</dcterms:created>
  <dcterms:modified xsi:type="dcterms:W3CDTF">2018-08-01T11:14:00Z</dcterms:modified>
</cp:coreProperties>
</file>