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504" w:rsidRDefault="006A4504" w:rsidP="006A4504">
      <w:pPr>
        <w:pStyle w:val="ConsPlusTitlePage"/>
      </w:pPr>
    </w:p>
    <w:p w:rsidR="006A4504" w:rsidRDefault="006A450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A4504" w:rsidRDefault="006A4504">
      <w:pPr>
        <w:pStyle w:val="ConsPlusTitle"/>
        <w:jc w:val="center"/>
      </w:pPr>
    </w:p>
    <w:p w:rsidR="006A4504" w:rsidRDefault="006A4504">
      <w:pPr>
        <w:pStyle w:val="ConsPlusTitle"/>
        <w:jc w:val="center"/>
      </w:pPr>
      <w:r>
        <w:t>РАСПОРЯЖЕНИЕ</w:t>
      </w:r>
    </w:p>
    <w:p w:rsidR="006A4504" w:rsidRDefault="006A4504">
      <w:pPr>
        <w:pStyle w:val="ConsPlusTitle"/>
        <w:jc w:val="center"/>
      </w:pPr>
      <w:r>
        <w:t>от 2 сентября 2021 г. N 2424-р</w:t>
      </w:r>
    </w:p>
    <w:p w:rsidR="006A4504" w:rsidRDefault="006A45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1"/>
        <w:gridCol w:w="113"/>
      </w:tblGrid>
      <w:tr w:rsidR="006A45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4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5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6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</w:tr>
    </w:tbl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44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план).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2. Реализация Национального </w:t>
      </w:r>
      <w:hyperlink w:anchor="P44">
        <w:r>
          <w:rPr>
            <w:color w:val="0000FF"/>
          </w:rPr>
          <w:t>плана</w:t>
        </w:r>
      </w:hyperlink>
      <w: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44">
        <w:r>
          <w:rPr>
            <w:color w:val="0000FF"/>
          </w:rPr>
          <w:t>плана</w:t>
        </w:r>
      </w:hyperlink>
      <w:r>
        <w:t>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обеспечить реализацию Национального </w:t>
      </w:r>
      <w:hyperlink w:anchor="P44">
        <w:r>
          <w:rPr>
            <w:color w:val="0000FF"/>
          </w:rPr>
          <w:t>плана</w:t>
        </w:r>
      </w:hyperlink>
      <w:r>
        <w:t>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44">
        <w:r>
          <w:rPr>
            <w:color w:val="0000FF"/>
          </w:rPr>
          <w:t>плана</w:t>
        </w:r>
      </w:hyperlink>
      <w:r>
        <w:t>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4. ФАС России: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44">
        <w:r>
          <w:rPr>
            <w:color w:val="0000FF"/>
          </w:rPr>
          <w:t>плана</w:t>
        </w:r>
      </w:hyperlink>
      <w:r>
        <w:t>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44">
        <w:r>
          <w:rPr>
            <w:color w:val="0000FF"/>
          </w:rPr>
          <w:t>плана</w:t>
        </w:r>
      </w:hyperlink>
      <w:r>
        <w:t>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44">
        <w:r>
          <w:rPr>
            <w:color w:val="0000FF"/>
          </w:rPr>
          <w:t>плана</w:t>
        </w:r>
      </w:hyperlink>
      <w:r>
        <w:t>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31 декабря 2025 г.: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</w:t>
      </w:r>
      <w:r>
        <w:lastRenderedPageBreak/>
        <w:t>власти субъектов Российской Федерации;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right"/>
      </w:pPr>
      <w:r>
        <w:t>Председатель Правительства</w:t>
      </w:r>
    </w:p>
    <w:p w:rsidR="006A4504" w:rsidRDefault="006A4504">
      <w:pPr>
        <w:pStyle w:val="ConsPlusNormal"/>
        <w:jc w:val="right"/>
      </w:pPr>
      <w:r>
        <w:t>Российской Федерации</w:t>
      </w:r>
    </w:p>
    <w:p w:rsidR="006A4504" w:rsidRDefault="006A4504">
      <w:pPr>
        <w:pStyle w:val="ConsPlusNormal"/>
        <w:jc w:val="right"/>
      </w:pPr>
      <w:r>
        <w:t>М.МИШУСТИН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right"/>
        <w:outlineLvl w:val="0"/>
      </w:pPr>
      <w:r>
        <w:t>Утвержден</w:t>
      </w:r>
    </w:p>
    <w:p w:rsidR="006A4504" w:rsidRDefault="006A4504">
      <w:pPr>
        <w:pStyle w:val="ConsPlusNormal"/>
        <w:jc w:val="right"/>
      </w:pPr>
      <w:r>
        <w:t>распоряжением Правительства</w:t>
      </w:r>
    </w:p>
    <w:p w:rsidR="006A4504" w:rsidRDefault="006A4504">
      <w:pPr>
        <w:pStyle w:val="ConsPlusNormal"/>
        <w:jc w:val="right"/>
      </w:pPr>
      <w:r>
        <w:t>Российской Федерации</w:t>
      </w:r>
    </w:p>
    <w:p w:rsidR="006A4504" w:rsidRDefault="006A4504">
      <w:pPr>
        <w:pStyle w:val="ConsPlusNormal"/>
        <w:jc w:val="right"/>
      </w:pPr>
      <w:r>
        <w:t>от 2 сентября 2021 г. N 2424-р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Title"/>
        <w:jc w:val="center"/>
      </w:pPr>
      <w:bookmarkStart w:id="0" w:name="P44"/>
      <w:bookmarkEnd w:id="0"/>
      <w:r>
        <w:t>НАЦИОНАЛЬНЫЙ ПЛАН</w:t>
      </w:r>
    </w:p>
    <w:p w:rsidR="006A4504" w:rsidRDefault="006A4504">
      <w:pPr>
        <w:pStyle w:val="ConsPlusTitle"/>
        <w:jc w:val="center"/>
      </w:pPr>
      <w:r>
        <w:t>("ДОРОЖНАЯ КАРТА") РАЗВИТИЯ КОНКУРЕНЦИИ В РОССИЙСКОЙ</w:t>
      </w:r>
    </w:p>
    <w:p w:rsidR="006A4504" w:rsidRDefault="006A4504">
      <w:pPr>
        <w:pStyle w:val="ConsPlusTitle"/>
        <w:jc w:val="center"/>
      </w:pPr>
      <w:r>
        <w:t>ФЕДЕРАЦИИ НА 2021 - 2025 ГОДЫ</w:t>
      </w:r>
    </w:p>
    <w:p w:rsidR="006A4504" w:rsidRDefault="006A45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1"/>
        <w:gridCol w:w="113"/>
      </w:tblGrid>
      <w:tr w:rsidR="006A45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7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:rsidR="006A4504" w:rsidRDefault="006A45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8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9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504" w:rsidRDefault="006A4504">
            <w:pPr>
              <w:pStyle w:val="ConsPlusNormal"/>
            </w:pPr>
          </w:p>
        </w:tc>
      </w:tr>
    </w:tbl>
    <w:p w:rsidR="006A4504" w:rsidRDefault="006A4504">
      <w:pPr>
        <w:pStyle w:val="ConsPlusNormal"/>
        <w:jc w:val="both"/>
      </w:pPr>
    </w:p>
    <w:p w:rsidR="006A4504" w:rsidRDefault="006A4504">
      <w:pPr>
        <w:pStyle w:val="ConsPlusTitle"/>
        <w:jc w:val="center"/>
        <w:outlineLvl w:val="1"/>
      </w:pPr>
      <w:r>
        <w:t>I. Оценка реализации государственной политики</w:t>
      </w:r>
    </w:p>
    <w:p w:rsidR="006A4504" w:rsidRDefault="006A4504">
      <w:pPr>
        <w:pStyle w:val="ConsPlusTitle"/>
        <w:jc w:val="center"/>
      </w:pPr>
      <w:r>
        <w:t>по развитию конкуренции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сохранение населения, здоровье и благополучие людей;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возможности для самореализации и развития талантов;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комфортная и безопасная среда для жизни;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достойный, эффективный труд и успешное предпринимательство;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цифровая трансформация.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lastRenderedPageBreak/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21 декабря 2017 г. принят </w:t>
      </w:r>
      <w:hyperlink r:id="rId11">
        <w:r>
          <w:rPr>
            <w:color w:val="0000FF"/>
          </w:rPr>
          <w:t>Указ</w:t>
        </w:r>
      </w:hyperlink>
      <w: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12">
        <w:r>
          <w:rPr>
            <w:color w:val="0000FF"/>
          </w:rPr>
          <w:t>Указа</w:t>
        </w:r>
      </w:hyperlink>
      <w: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Таким образом, решение задач по развитию конкуренции является одним из элементов обеспечения достижения национальных целей.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Национальный план развития конкуренции в Российской Федерации на 2018 - 2020 годы, утвержденный </w:t>
      </w:r>
      <w:hyperlink r:id="rId13">
        <w:r>
          <w:rPr>
            <w:color w:val="0000FF"/>
          </w:rPr>
          <w:t>Указом</w:t>
        </w:r>
      </w:hyperlink>
      <w: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Основные подходы к реализации </w:t>
      </w:r>
      <w:proofErr w:type="spellStart"/>
      <w:r>
        <w:t>проконкурентной</w:t>
      </w:r>
      <w:proofErr w:type="spellEnd"/>
      <w:r>
        <w:t xml:space="preserve"> политики в регионах Российской Федерации закреплены в </w:t>
      </w:r>
      <w:hyperlink r:id="rId14">
        <w:r>
          <w:rPr>
            <w:color w:val="0000FF"/>
          </w:rPr>
          <w:t>стандарте</w:t>
        </w:r>
      </w:hyperlink>
      <w: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Вопросы развития конкуренции стали неотъемлемой частью региональной экономической 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15">
        <w:r>
          <w:rPr>
            <w:color w:val="0000FF"/>
          </w:rPr>
          <w:t>программа</w:t>
        </w:r>
      </w:hyperlink>
      <w: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:rsidR="006A4504" w:rsidRDefault="006A4504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Программа</w:t>
        </w:r>
      </w:hyperlink>
      <w:r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:rsidR="006A4504" w:rsidRDefault="006A4504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план</w:t>
        </w:r>
      </w:hyperlink>
      <w:r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</w:t>
      </w:r>
      <w:r>
        <w:lastRenderedPageBreak/>
        <w:t xml:space="preserve">2020 годы, утвержденным </w:t>
      </w:r>
      <w:hyperlink r:id="rId18">
        <w:r>
          <w:rPr>
            <w:color w:val="0000FF"/>
          </w:rPr>
          <w:t>Указом</w:t>
        </w:r>
      </w:hyperlink>
      <w:r>
        <w:t xml:space="preserve"> N 618, </w:t>
      </w:r>
      <w:hyperlink r:id="rId19">
        <w:r>
          <w:rPr>
            <w:color w:val="0000FF"/>
          </w:rPr>
          <w:t>планом</w:t>
        </w:r>
      </w:hyperlink>
      <w: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 16 августа 2018 г. N 1697-р.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Таким образом, удалось обеспечить присутствие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Количество зафиксированных нарушений антимонопольного законодательства со стороны органов государственной власти и органов местного самоуправления в 2020 году снизилось в 2 раза по сравнению с 2017 годом.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принят Федеральный </w:t>
      </w:r>
      <w:hyperlink r:id="rId20">
        <w:r>
          <w:rPr>
            <w:color w:val="0000FF"/>
          </w:rPr>
          <w:t>закон</w:t>
        </w:r>
      </w:hyperlink>
      <w: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на территории Российской Федерации отменен национальный и внутрисетевой роуминг;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на биржевых торгах;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в рамках усиления борьбы с картелями и иными </w:t>
      </w:r>
      <w:proofErr w:type="spellStart"/>
      <w:r>
        <w:t>антиконкурентными</w:t>
      </w:r>
      <w:proofErr w:type="spellEnd"/>
      <w:r>
        <w:t xml:space="preserve">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внедрен принцип ценового (тарифного) регулирования, стимулирующий организации к сокращению издержек;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введен метод предельного ценообразования на услуги общедоступной электросвязи и почтовой связи;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Реализация указанных мероприятий способствовала достижению целей и задач, определенных в </w:t>
      </w:r>
      <w:hyperlink r:id="rId21">
        <w:r>
          <w:rPr>
            <w:color w:val="0000FF"/>
          </w:rPr>
          <w:t>Указе</w:t>
        </w:r>
      </w:hyperlink>
      <w:r>
        <w:t xml:space="preserve"> N 618, в том числе таких как: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lastRenderedPageBreak/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Однако не все меры, предусмотренные программами, оказались достаточными для эффективного развития конкуренции.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Анализ глобальных экономических процессов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Еще одним вызовом как для российской экономики, так и для мировой экономики в целом стало распространение новой коронавирусной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Факторами, сдерживающими развитие конкуренции, продолжают оставаться следующие: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высокая доля государственного сектора в экономике;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 xml:space="preserve">монополизация рынков и их </w:t>
      </w:r>
      <w:proofErr w:type="spellStart"/>
      <w:r>
        <w:t>олигопольный</w:t>
      </w:r>
      <w:proofErr w:type="spellEnd"/>
      <w:r>
        <w:t xml:space="preserve"> характер;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недостаточная доля малых и средних предприятий в структуре экономики Российской Федерации;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сохраняющиеся ограничения доступа к инфраструктуре.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Title"/>
        <w:jc w:val="center"/>
        <w:outlineLvl w:val="1"/>
      </w:pPr>
      <w:r>
        <w:t>II. Задачи, ключевые показатели и ожидаемые результаты</w:t>
      </w:r>
    </w:p>
    <w:p w:rsidR="006A4504" w:rsidRDefault="006A4504">
      <w:pPr>
        <w:pStyle w:val="ConsPlusTitle"/>
        <w:jc w:val="center"/>
      </w:pPr>
      <w:r>
        <w:t>развития конкуренции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r>
        <w:lastRenderedPageBreak/>
        <w:t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развитие добросовестной конкуренции на товарных рынках;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снижение барьеров для поставщиков и потребителей товаров, работ и услуг;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дерегулирование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развитие малого и среднего предпринимательства;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унификация и систематизация государственных и муниципальных преференций хозяйствующим субъектам;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замена мер государственного регулирования экономических отношений на меры экономического стимулирования;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обеспечение недискриминационного доступа к природным ресурсам;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развитие организованной (биржевой) торговли товарами, производными 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других товарных деривативов, создание условий для реализации биржевых товаров на экспорт на российских биржах за рубли;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цифровизация антимонопольного и тарифного регулирования;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:rsidR="006A4504" w:rsidRDefault="006A4504">
      <w:pPr>
        <w:pStyle w:val="ConsPlusNormal"/>
        <w:spacing w:before="220"/>
        <w:ind w:firstLine="540"/>
        <w:jc w:val="both"/>
      </w:pPr>
      <w: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:rsidR="006A4504" w:rsidRDefault="006A450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37"/>
        <w:gridCol w:w="1276"/>
        <w:gridCol w:w="1417"/>
        <w:gridCol w:w="2356"/>
      </w:tblGrid>
      <w:tr w:rsidR="006A4504">
        <w:tc>
          <w:tcPr>
            <w:tcW w:w="4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Доля организаций с государственным и </w:t>
            </w:r>
            <w:r>
              <w:lastRenderedPageBreak/>
              <w:t xml:space="preserve">муниципальным участием в отраслях (сферах), указанных в </w:t>
            </w:r>
            <w:hyperlink w:anchor="P148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федеральные органы исполнительной </w:t>
            </w:r>
            <w:r>
              <w:lastRenderedPageBreak/>
              <w:t xml:space="preserve">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8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млн.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8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</w:t>
            </w:r>
            <w:hyperlink r:id="rId22">
              <w:r>
                <w:rPr>
                  <w:color w:val="0000FF"/>
                </w:rPr>
                <w:t>N 91-р</w:t>
              </w:r>
            </w:hyperlink>
            <w:r>
              <w:t xml:space="preserve"> и от 30 августа 2017 г. </w:t>
            </w:r>
            <w:hyperlink r:id="rId23">
              <w:r>
                <w:rPr>
                  <w:color w:val="0000FF"/>
                </w:rPr>
                <w:t>N 1870-р</w:t>
              </w:r>
            </w:hyperlink>
            <w: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8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</w:tbl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r>
        <w:t>--------------------------------</w:t>
      </w:r>
    </w:p>
    <w:p w:rsidR="006A4504" w:rsidRDefault="006A4504">
      <w:pPr>
        <w:pStyle w:val="ConsPlusNormal"/>
        <w:spacing w:before="220"/>
        <w:ind w:firstLine="540"/>
        <w:jc w:val="both"/>
      </w:pPr>
      <w:bookmarkStart w:id="1" w:name="P146"/>
      <w:bookmarkEnd w:id="1"/>
      <w: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bookmarkStart w:id="2" w:name="P148"/>
      <w:bookmarkEnd w:id="2"/>
      <w:r>
        <w:lastRenderedPageBreak/>
        <w:t>3. Ожидаемые результаты развития конкуренции в отдельных отраслях (сферах) экономики (видах деятельности):</w:t>
      </w:r>
    </w:p>
    <w:p w:rsidR="006A4504" w:rsidRDefault="006A450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211"/>
      </w:tblGrid>
      <w:tr w:rsidR="006A4504"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1. Агропромышленный комплекс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На федеральном и региональном уровнях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Минсельхоз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Минсельхоз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Минсельхоз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2. Информационные технологии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предусмотренных федеральными законами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 ввод в промышленную эксплуатацию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сфере:</w:t>
            </w:r>
          </w:p>
          <w:p w:rsidR="006A4504" w:rsidRDefault="006A4504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одна тысяча в 2023 году;</w:t>
            </w:r>
          </w:p>
          <w:p w:rsidR="006A4504" w:rsidRDefault="006A4504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- 20 тыс. в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Минобороны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ФСБ России,</w:t>
            </w:r>
          </w:p>
          <w:p w:rsidR="006A4504" w:rsidRDefault="006A4504">
            <w:pPr>
              <w:pStyle w:val="ConsPlusNormal"/>
            </w:pPr>
            <w:r>
              <w:t>ФСТЭК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3. Сфера обращения твердых коммунальных отходов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Минприроды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4. Сфера финансовых рынков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Обеспечен равный доступ финансовым организациям, в том числе являющимся субъектами малого и среднего предпринимательства, к государственным программам субсидирования из средств бюджета </w:t>
            </w:r>
            <w:r>
              <w:lastRenderedPageBreak/>
              <w:t>льготного финансирования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 xml:space="preserve">при участии Банка </w:t>
            </w:r>
            <w:r>
              <w:lastRenderedPageBreak/>
              <w:t>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Обеспечено проведение открытых процедур отбора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населения, а также обеспечена возможность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5. Природные ресурсы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Расширен доступ организаций, обладающих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Минвостокразвития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6. Электроэнергетика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Не увеличены территории ценовых зон оптового рынка 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Доля организаций частной формы собственности составляет не менее:</w:t>
            </w:r>
          </w:p>
          <w:p w:rsidR="006A4504" w:rsidRDefault="006A4504">
            <w:pPr>
              <w:pStyle w:val="ConsPlusNormal"/>
            </w:pPr>
            <w: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:rsidR="006A4504" w:rsidRDefault="006A4504">
            <w:pPr>
              <w:pStyle w:val="ConsPlusNormal"/>
            </w:pPr>
            <w:r>
              <w:t>30 процентов для организаций, осуществляющих деятельность по купле-продаже электроэнергии (энергосбытовую деятельность) на розничном рынке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7. Сфера транспорта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both"/>
            </w:pPr>
            <w:r>
              <w:t>Минтранс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Минтранс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Железнодорожный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Минтранс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Городской транспорт (автобусы):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Доля услуг (работ) по перевозке пассажиров автомобильным транспортом:</w:t>
            </w:r>
          </w:p>
          <w:p w:rsidR="006A4504" w:rsidRDefault="006A4504">
            <w:pPr>
              <w:pStyle w:val="ConsPlusNormal"/>
            </w:pPr>
            <w: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:rsidR="006A4504" w:rsidRDefault="006A4504">
            <w:pPr>
              <w:pStyle w:val="ConsPlusNormal"/>
            </w:pPr>
            <w: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Минтранс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8. Сфера образования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Во всех субъектах Российской Федерации обеспечено внедрение не позднее 2024 года системы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:rsidR="006A4504" w:rsidRDefault="006A4504">
            <w:pPr>
              <w:pStyle w:val="ConsPlusNormal"/>
            </w:pPr>
            <w:r>
              <w:t>1,6 процента на рынках дошкольного образования;</w:t>
            </w:r>
          </w:p>
          <w:p w:rsidR="006A4504" w:rsidRDefault="006A4504">
            <w:pPr>
              <w:pStyle w:val="ConsPlusNormal"/>
            </w:pPr>
            <w:r>
              <w:t>1 процента на рынках общего образования;</w:t>
            </w:r>
          </w:p>
          <w:p w:rsidR="006A4504" w:rsidRDefault="006A4504">
            <w:pPr>
              <w:pStyle w:val="ConsPlusNormal"/>
            </w:pPr>
            <w: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9. Сфера здравоохранения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На рынках лекарственных средств:</w:t>
            </w:r>
          </w:p>
          <w:p w:rsidR="006A4504" w:rsidRDefault="006A4504">
            <w:pPr>
              <w:pStyle w:val="ConsPlusNormal"/>
            </w:pPr>
            <w:r>
              <w:t>до 1 июля 2022 г. проведена работа по определению взаимозаменяемости лекарственных препаратов для не менее чем 50 процентов лекарственных препаратов,</w:t>
            </w:r>
          </w:p>
          <w:p w:rsidR="006A4504" w:rsidRDefault="006A4504">
            <w:pPr>
              <w:pStyle w:val="ConsPlusNormal"/>
            </w:pPr>
            <w:r>
              <w:t>до 31 декабря 2022 г. - для не менее чем 55 процентов лекарственных препаратов,</w:t>
            </w:r>
          </w:p>
          <w:p w:rsidR="006A4504" w:rsidRDefault="006A4504">
            <w:pPr>
              <w:pStyle w:val="ConsPlusNormal"/>
            </w:pPr>
            <w:r>
              <w:t>до 31 декабря 2023 г. - для не менее 60 процентов лекарственных препаратов,</w:t>
            </w:r>
          </w:p>
          <w:p w:rsidR="006A4504" w:rsidRDefault="006A4504">
            <w:pPr>
              <w:pStyle w:val="ConsPlusNormal"/>
            </w:pPr>
            <w:r>
              <w:t>до 31 декабря 2024 г. - для не менее 65 процентов лекарственных препаратов,</w:t>
            </w:r>
          </w:p>
          <w:p w:rsidR="006A4504" w:rsidRDefault="006A4504">
            <w:pPr>
              <w:pStyle w:val="ConsPlusNormal"/>
            </w:pPr>
            <w: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Минздрав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Система возмещения стоимости лекарственного обеспечения внедрена:</w:t>
            </w:r>
          </w:p>
          <w:p w:rsidR="006A4504" w:rsidRDefault="006A4504">
            <w:pPr>
              <w:pStyle w:val="ConsPlusNormal"/>
            </w:pPr>
            <w:r>
              <w:t>в не менее чем 10 пилотных регионах - к 2023 году,</w:t>
            </w:r>
          </w:p>
          <w:p w:rsidR="006A4504" w:rsidRDefault="006A4504">
            <w:pPr>
              <w:pStyle w:val="ConsPlusNormal"/>
            </w:pPr>
            <w:r>
              <w:lastRenderedPageBreak/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Минздрав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Доля организаций частной формы собственности составляет:</w:t>
            </w:r>
          </w:p>
          <w:p w:rsidR="006A4504" w:rsidRDefault="006A4504">
            <w:pPr>
              <w:pStyle w:val="ConsPlusNormal"/>
            </w:pPr>
            <w: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:rsidR="006A4504" w:rsidRDefault="006A4504">
            <w:pPr>
              <w:pStyle w:val="ConsPlusNormal"/>
            </w:pPr>
            <w:r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Минздрав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10. Ритуальные услуги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 субъектах Российской Федерации 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</w:t>
            </w:r>
          </w:p>
          <w:p w:rsidR="006A4504" w:rsidRDefault="006A4504">
            <w:pPr>
              <w:pStyle w:val="ConsPlusNormal"/>
            </w:pPr>
            <w:r>
              <w:t>в отношении 20 процентов общего количества существующих кладбищ - до 31 декабря 2023 г.;</w:t>
            </w:r>
          </w:p>
          <w:p w:rsidR="006A4504" w:rsidRDefault="006A4504">
            <w:pPr>
              <w:pStyle w:val="ConsPlusNormal"/>
            </w:pPr>
            <w:r>
              <w:t>в отношении 50 процентов общего количества существующих кладбищ - до 31 декабря 2024 г.;</w:t>
            </w:r>
          </w:p>
          <w:p w:rsidR="006A4504" w:rsidRDefault="006A4504">
            <w:pPr>
              <w:pStyle w:val="ConsPlusNormal"/>
            </w:pPr>
            <w:r>
              <w:t>в отношении всех существующих кладбищ - до 31 декабря 2025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 субъектах Российской Федерации до 1 сентября 2023 г.:</w:t>
            </w:r>
          </w:p>
          <w:p w:rsidR="006A4504" w:rsidRDefault="006A4504">
            <w:pPr>
              <w:pStyle w:val="ConsPlusNormal"/>
            </w:pPr>
            <w:r>
              <w:t>созданы и размещены на региональных порталах государственных и муниципальных услуг реестры хозяйствующих субъектов, имеющих право на оказание услуг по организации похорон;</w:t>
            </w:r>
          </w:p>
          <w:p w:rsidR="006A4504" w:rsidRDefault="006A4504">
            <w:pPr>
              <w:pStyle w:val="ConsPlusNormal"/>
            </w:pPr>
            <w:r>
              <w:t>оказание услуг по организации похорон организовано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Минстрой России, </w:t>
            </w: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оказание ритуальных услуг по принципу "одного окна"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11. Энергетика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Газ: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Созданы ликвидные биржевые и внебиржевые индикаторы цен на природный газ, сжиженный углеводородный газ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ФНС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24">
              <w:r>
                <w:rPr>
                  <w:color w:val="0000FF"/>
                </w:rPr>
                <w:t>Правилами</w:t>
              </w:r>
            </w:hyperlink>
            <w:r>
              <w:t xml:space="preserve"> подключения (технологического присоединения) объектов капитального </w:t>
            </w:r>
            <w:r>
              <w:lastRenderedPageBreak/>
              <w:t>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Нефть и нефтепродукты: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ФНС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Угольная промышленность: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  <w:p w:rsidR="006A4504" w:rsidRDefault="006A4504">
            <w:pPr>
              <w:pStyle w:val="ConsPlusNormal"/>
            </w:pPr>
            <w:r>
              <w:t>совместно с заинтересованными федеральными органами исполнительной власти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ФНС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Созданы ликвидные биржевые и внебиржевые индикаторы цен на </w:t>
            </w:r>
            <w:r>
              <w:lastRenderedPageBreak/>
              <w:t>энергетический уголь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ФАС России,</w:t>
            </w:r>
          </w:p>
          <w:p w:rsidR="006A4504" w:rsidRDefault="006A4504">
            <w:pPr>
              <w:pStyle w:val="ConsPlusNormal"/>
            </w:pPr>
            <w:r>
              <w:lastRenderedPageBreak/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12. Химическая промышленность и нефтегазохимическая промышленность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</w:t>
            </w:r>
            <w:proofErr w:type="spellStart"/>
            <w:r>
              <w:t>ортоксилола</w:t>
            </w:r>
            <w:proofErr w:type="spellEnd"/>
            <w:r>
              <w:t>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рынках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Сформированы ликвидные биржевые и внебиржевые индикаторы цен на минеральные удобрения, парафины, </w:t>
            </w:r>
            <w:proofErr w:type="spellStart"/>
            <w:r>
              <w:t>ортоксилол</w:t>
            </w:r>
            <w:proofErr w:type="spellEnd"/>
            <w:r>
              <w:t>, толуол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13. Строительство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14. Торговля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Увеличено количество нестационарных торговых объектов и торговых мест под них не менее чем на 10 процентов к 2025 году по отношению к 2020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Минпромторг России,</w:t>
            </w:r>
          </w:p>
          <w:p w:rsidR="006A4504" w:rsidRDefault="006A450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15. Лесной комплекс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ФНС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</w:tbl>
    <w:p w:rsidR="006A4504" w:rsidRDefault="006A4504">
      <w:pPr>
        <w:pStyle w:val="ConsPlusNormal"/>
        <w:jc w:val="both"/>
      </w:pPr>
    </w:p>
    <w:p w:rsidR="006A4504" w:rsidRDefault="006A4504">
      <w:pPr>
        <w:pStyle w:val="ConsPlusTitle"/>
        <w:jc w:val="center"/>
        <w:outlineLvl w:val="1"/>
      </w:pPr>
      <w:r>
        <w:t>III. Мероприятия Национального плана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sectPr w:rsidR="006A4504" w:rsidSect="006A4504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06"/>
        <w:gridCol w:w="1701"/>
        <w:gridCol w:w="1984"/>
        <w:gridCol w:w="2324"/>
      </w:tblGrid>
      <w:tr w:rsidR="006A4504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A4504" w:rsidRDefault="006A4504">
            <w:pPr>
              <w:pStyle w:val="ConsPlusNormal"/>
              <w:jc w:val="center"/>
            </w:pPr>
            <w:r>
              <w:t xml:space="preserve">Срок реализации </w:t>
            </w:r>
            <w:hyperlink w:anchor="P72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Ответственные исполнители (соисполнители)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Росимущество,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Банк России в части финансовых организаций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июль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2022 г.</w:t>
            </w:r>
          </w:p>
          <w:p w:rsidR="006A4504" w:rsidRDefault="006A4504">
            <w:pPr>
              <w:pStyle w:val="ConsPlusNormal"/>
              <w:jc w:val="center"/>
            </w:pPr>
            <w:r>
              <w:t>31 декабря 2022 г.</w:t>
            </w:r>
          </w:p>
          <w:p w:rsidR="006A4504" w:rsidRDefault="006A4504">
            <w:pPr>
              <w:pStyle w:val="ConsPlusNormal"/>
              <w:jc w:val="center"/>
            </w:pPr>
            <w:r>
              <w:t>31 декабря 2023 г.</w:t>
            </w:r>
          </w:p>
          <w:p w:rsidR="006A4504" w:rsidRDefault="006A4504">
            <w:pPr>
              <w:pStyle w:val="ConsPlusNormal"/>
              <w:jc w:val="center"/>
            </w:pPr>
            <w:r>
              <w:t>31 декабря 2024 г.</w:t>
            </w:r>
          </w:p>
          <w:p w:rsidR="006A4504" w:rsidRDefault="006A4504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Минздрав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распоряжение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Минпромторг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:rsidR="006A4504" w:rsidRDefault="006A4504">
            <w:pPr>
              <w:pStyle w:val="ConsPlusNormal"/>
            </w:pPr>
            <w:r>
              <w:t>по использованию биржевых и внебиржевых индикаторов в налоговом и бюджетном регулировании и контроле;</w:t>
            </w:r>
          </w:p>
          <w:p w:rsidR="006A4504" w:rsidRDefault="006A4504">
            <w:pPr>
              <w:pStyle w:val="ConsPlusNormal"/>
            </w:pPr>
            <w:r>
              <w:t>по развитию срочного рынка, рынка производных финансовых инструментов;</w:t>
            </w:r>
          </w:p>
          <w:p w:rsidR="006A4504" w:rsidRDefault="006A4504">
            <w:pPr>
              <w:pStyle w:val="ConsPlusNormal"/>
            </w:pPr>
            <w: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:rsidR="006A4504" w:rsidRDefault="006A4504">
            <w:pPr>
              <w:pStyle w:val="ConsPlusNormal"/>
            </w:pPr>
            <w:r>
              <w:t>по формированию системы национальных рыночных индикаторов цен на ключевые группы товаров с учетом биржевых цен, формируемых в том числе на международных и зарубежных организованных биржевых торгах;</w:t>
            </w:r>
          </w:p>
          <w:p w:rsidR="006A4504" w:rsidRDefault="006A4504">
            <w:pPr>
              <w:pStyle w:val="ConsPlusNormal"/>
            </w:pPr>
            <w:r>
              <w:t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:rsidR="006A4504" w:rsidRDefault="006A4504">
            <w:pPr>
              <w:pStyle w:val="ConsPlusNormal"/>
            </w:pPr>
            <w: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:rsidR="006A4504" w:rsidRDefault="006A4504">
            <w:pPr>
              <w:pStyle w:val="ConsPlusNormal"/>
            </w:pPr>
            <w:r>
              <w:t xml:space="preserve">по привлечению на уровне субъектов Российской Федерации к организованным </w:t>
            </w:r>
            <w:r>
              <w:lastRenderedPageBreak/>
              <w:t>торгам мелким оптом всех производителей, функционирующих в каждом из субъектов Российской Федерации;</w:t>
            </w:r>
          </w:p>
          <w:p w:rsidR="006A4504" w:rsidRDefault="006A4504">
            <w:pPr>
              <w:pStyle w:val="ConsPlusNormal"/>
            </w:pPr>
            <w:r>
              <w:t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спот-торгов, а также цен экспортной альтернативы (</w:t>
            </w:r>
            <w:proofErr w:type="spellStart"/>
            <w:r>
              <w:t>нетбэк</w:t>
            </w:r>
            <w:proofErr w:type="spellEnd"/>
            <w:r>
              <w:t>) и иной ценовой информации зарубежных рынков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России,</w:t>
            </w:r>
          </w:p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ФНС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 и</w:t>
            </w:r>
          </w:p>
          <w:p w:rsidR="006A4504" w:rsidRDefault="006A4504">
            <w:pPr>
              <w:pStyle w:val="ConsPlusNormal"/>
            </w:pPr>
            <w:r>
              <w:t>заинтересованных организаций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Утверждение плана мероприятий ("дорожной карты") развития конкуренции 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:rsidR="006A4504" w:rsidRDefault="006A4504">
            <w:pPr>
              <w:pStyle w:val="ConsPlusNormal"/>
            </w:pPr>
            <w:r>
              <w:t>снижение барьеров для поставщиков финансовых услуг;</w:t>
            </w:r>
          </w:p>
          <w:p w:rsidR="006A4504" w:rsidRDefault="006A4504">
            <w:pPr>
              <w:pStyle w:val="ConsPlusNormal"/>
            </w:pPr>
            <w:r>
              <w:t>расширение возможностей потребителя осуществлять свободный информированный выбор, в том числе смену поставщиков финансовых услуг;</w:t>
            </w:r>
          </w:p>
          <w:p w:rsidR="006A4504" w:rsidRDefault="006A4504">
            <w:pPr>
              <w:pStyle w:val="ConsPlusNormal"/>
            </w:pPr>
            <w: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:rsidR="006A4504" w:rsidRDefault="006A4504">
            <w:pPr>
              <w:pStyle w:val="ConsPlusNormal"/>
            </w:pPr>
            <w: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(мультисервисных платформ), в том числе иностранных экосистем;</w:t>
            </w:r>
          </w:p>
          <w:p w:rsidR="006A4504" w:rsidRDefault="006A4504">
            <w:pPr>
              <w:pStyle w:val="ConsPlusNormal"/>
            </w:pPr>
            <w:r>
              <w:t xml:space="preserve">развитие института ответственности органов государственной власти за действия, </w:t>
            </w:r>
            <w:r>
              <w:lastRenderedPageBreak/>
              <w:t>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Утверждение по согласованию с Российской академией наук плана мероприятий ("дорожной карты") развития конкуренции в сфере науки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Минобрнауки России,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сентября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 (за исключением процедур, проводимых в соответствии с законодательством Российской Федерации о несостоятельности (банкротстве)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Минюст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Казначейство России,</w:t>
            </w:r>
          </w:p>
          <w:p w:rsidR="006A4504" w:rsidRDefault="006A4504">
            <w:pPr>
              <w:pStyle w:val="ConsPlusNormal"/>
            </w:pPr>
            <w:r>
              <w:t>Росреестр,</w:t>
            </w:r>
          </w:p>
          <w:p w:rsidR="006A4504" w:rsidRDefault="006A4504">
            <w:pPr>
              <w:pStyle w:val="ConsPlusNormal"/>
            </w:pPr>
            <w:r>
              <w:t>Минсельхоз России,</w:t>
            </w:r>
          </w:p>
          <w:p w:rsidR="006A4504" w:rsidRDefault="006A4504">
            <w:pPr>
              <w:pStyle w:val="ConsPlusNormal"/>
            </w:pPr>
            <w:r>
              <w:t>Росимущество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Разработка комплекса мер, направленных на </w:t>
            </w:r>
            <w:r>
              <w:lastRenderedPageBreak/>
              <w:t>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Минприроды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расширение доступа организациям, обладающим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31 декабря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Минвостокразвития России,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Минприроды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both"/>
            </w:pPr>
            <w:r>
              <w:t xml:space="preserve">Исключен. - </w:t>
            </w:r>
            <w:hyperlink r:id="rId2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13.07.2022 N 1905-р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функционирования в информационно-телекоммуникационной сети "Интернет" базового информационного портала по реализации государственной политики по развитию конкуренции, обеспечивающего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расширения случаев установления долгосрочных тарифов на услуги естественных монополий по принципу "инфляция минус"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both"/>
            </w:pPr>
            <w:r>
              <w:t xml:space="preserve">Исключен. - </w:t>
            </w:r>
            <w:hyperlink r:id="rId2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20.12.2022 N 4042-р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цифровизации неконкурентных практик участников торгов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Разработка и утверждение плана мероприятий по развитию сотрудничества стран БРИКС по 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</w:t>
            </w:r>
            <w:r>
              <w:lastRenderedPageBreak/>
              <w:t>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Проработка вопроса о целесообразности инициирования изменений в </w:t>
            </w:r>
            <w:hyperlink r:id="rId27">
              <w:r>
                <w:rPr>
                  <w:color w:val="0000FF"/>
                </w:rPr>
                <w:t>приложение N 25</w:t>
              </w:r>
            </w:hyperlink>
            <w: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стратегические направления развития Евразийской экономической интеграции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Установление единого порядка подачи и 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</w:t>
            </w:r>
            <w:r>
              <w:lastRenderedPageBreak/>
              <w:t>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Минэнерго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Разработка методики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приказ ФАС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марта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Определение порядка функционирования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сфере, включая формирование и ведение в данной системе каталога товаров (работ, услуг) для государственных нужд по государственному оборонному заказу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закон,</w:t>
            </w:r>
          </w:p>
          <w:p w:rsidR="006A4504" w:rsidRDefault="006A4504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г.,</w:t>
            </w:r>
          </w:p>
          <w:p w:rsidR="006A4504" w:rsidRDefault="006A4504">
            <w:pPr>
              <w:pStyle w:val="ConsPlusNormal"/>
              <w:jc w:val="center"/>
            </w:pPr>
            <w:r>
              <w:t>6 месяцев с момента вступления в силу федерального закона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Минобороны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правового регулирования, предусматривающего унификацию и систематизацию государственных и муниципальных преференций, предоставляемых путем передачи государственного или муниципального имущества, иных объектов гражданских прав либо путем предоставления имущественных льгот, государственных или муниципальных гарантий, в том числе порядка их предоставления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Обеспечение внесения изменений в </w:t>
            </w:r>
            <w:hyperlink r:id="rId28">
              <w:r>
                <w:rPr>
                  <w:color w:val="0000FF"/>
                </w:rPr>
                <w:t>Кодекс</w:t>
              </w:r>
            </w:hyperlink>
            <w:r>
              <w:t xml:space="preserve"> </w:t>
            </w:r>
            <w:r>
              <w:lastRenderedPageBreak/>
              <w:t xml:space="preserve">административного судопроизводства Российской Федерации и Арбитражный процессуальный </w:t>
            </w:r>
            <w:hyperlink r:id="rId29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Федерации, закрепляющих подсудность решений об установлении (изменении) регулируемых цен (тарифов) арбитражным судам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 xml:space="preserve">федеральный </w:t>
            </w:r>
            <w:r>
              <w:lastRenderedPageBreak/>
              <w:t>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введения ограничений на совершение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Установление единых подходов и принципов пропорционального доступа финансовых организаций к получению средств бюджетов различных уровней, а также предоставлению банковских гарантий в зависимости от присвоенного уровня кредитного рейтинга по национальной рейтинговой шкале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Установление исключительно заявительного порядка участия финансовых организаций в программах субсидирования из средств </w:t>
            </w:r>
            <w:r>
              <w:lastRenderedPageBreak/>
              <w:t>бюджета при соответствии таких организаций общим требованиям к получателям субсидий, закрепленным Правительством Российской Федерации, запрета на адресное (индивидуальное) субсидирование финансовых организаций на конкурентных рынках, а также приоритета выплаты государством субсидий по факту оказания финансовой услуги на льготных условиях либо распределения средств государственной поддержки исходя из установленных Правительством Российской Федерации максимальных квот на одну финансовую организацию - участника программы субсидирования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 xml:space="preserve">при участии Банка </w:t>
            </w:r>
            <w:r>
              <w:lastRenderedPageBreak/>
              <w:t>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Введение ограничений на осуществление финансовыми организациями (их группами лиц), активы (суммарные активы финансовых организаций, входящих в одну группу лиц) которых превышают величину, установленную Правительством Российской Федерации по согласованию с Банком России, сделок экономической концентрации в отношении нефинансовых организаций, в том числе путем установления возможности определения Правительством Российской Федерации по согласованию с Банком России допустимого срока владения акциями (долями), активами таких нефинансовых организаций,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Обеспечение правовой основы для создания в </w:t>
            </w:r>
            <w:r>
              <w:lastRenderedPageBreak/>
              <w:t>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 xml:space="preserve">федеральный </w:t>
            </w:r>
            <w:r>
              <w:lastRenderedPageBreak/>
              <w:t>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lastRenderedPageBreak/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Закрепление на законодательном уровне обязанности по совершению сделок, предусматривающих переход прав владения, пользования, распоряжения недвижимым имуществом, в том числе земельными участками, организаций, учреждаемых или контролируемых государством или муниципальными 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Казначейство России,</w:t>
            </w:r>
          </w:p>
          <w:p w:rsidR="006A4504" w:rsidRDefault="006A4504">
            <w:pPr>
              <w:pStyle w:val="ConsPlusNormal"/>
            </w:pPr>
            <w:r>
              <w:t>Росимущество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Введение запрета на совмещение оказания ритуальных и медицинских услуг; оказание услуг по устройству и обустройству мест захоронений организациями, осуществляющими содержание кладбищ, с возможностью оказания таких услуг на конкурентной основе в соответствии с законами </w:t>
            </w:r>
            <w:r>
              <w:lastRenderedPageBreak/>
              <w:t>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t>Минздрав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both"/>
            </w:pPr>
            <w:r>
              <w:t xml:space="preserve">Исключен. - </w:t>
            </w:r>
            <w:hyperlink r:id="rId3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20.01.2023 N 68-р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Установление квоты в размере 20 процентов для малого бизнеса в конкурсах на установку и размещение рекламных конструкций (наружной рекламы)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Создание возможности поиска посредством единого портала государственных и муниципальных услуг сведений о 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составляющие государственную тайну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ФСБ России,</w:t>
            </w:r>
          </w:p>
          <w:p w:rsidR="006A4504" w:rsidRDefault="006A4504">
            <w:pPr>
              <w:pStyle w:val="ConsPlusNormal"/>
            </w:pPr>
            <w:r>
              <w:t>ФСТЭК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Определение единых принципов учета государственного и муниципального 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Росимущество,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доклад в Правительство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Росимущество,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lastRenderedPageBreak/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реализации мероприятий, направленных на принятие Международной конвенции о борьбе с картелями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Росимущество,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 и представление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России,</w:t>
            </w:r>
          </w:p>
          <w:p w:rsidR="006A4504" w:rsidRDefault="006A4504">
            <w:pPr>
              <w:pStyle w:val="ConsPlusNormal"/>
            </w:pPr>
            <w:r>
              <w:t>Минфин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</w:t>
            </w:r>
            <w:r>
              <w:lastRenderedPageBreak/>
              <w:t>прекращения государственного 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январь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Установление конкурентного механизма допуска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 и обеспечение возможности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июля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Минфин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  <w:p w:rsidR="006A4504" w:rsidRDefault="006A4504">
            <w:pPr>
              <w:pStyle w:val="ConsPlusNormal"/>
            </w:pPr>
            <w:r>
              <w:t>при участии Банка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 xml:space="preserve">Обеспечение перехода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моделирования, с определением возможности интеграции с </w:t>
            </w:r>
            <w:r>
              <w:lastRenderedPageBreak/>
              <w:t>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lastRenderedPageBreak/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6A4504" w:rsidRDefault="006A4504">
            <w:pPr>
              <w:pStyle w:val="ConsPlusNormal"/>
            </w:pPr>
            <w:r>
              <w:t>ФАС России,</w:t>
            </w:r>
          </w:p>
          <w:p w:rsidR="006A4504" w:rsidRDefault="006A4504">
            <w:pPr>
              <w:pStyle w:val="ConsPlusNormal"/>
            </w:pPr>
            <w:r>
              <w:t>Минэкономразвития России</w:t>
            </w:r>
          </w:p>
        </w:tc>
      </w:tr>
      <w:tr w:rsidR="006A450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504" w:rsidRDefault="006A4504">
            <w:pPr>
              <w:pStyle w:val="ConsPlusNormal"/>
            </w:pPr>
            <w:r>
              <w:t>Минстрой России,</w:t>
            </w:r>
          </w:p>
          <w:p w:rsidR="006A4504" w:rsidRDefault="006A4504">
            <w:pPr>
              <w:pStyle w:val="ConsPlusNormal"/>
            </w:pPr>
            <w:r>
              <w:t>ФАС России</w:t>
            </w:r>
          </w:p>
        </w:tc>
      </w:tr>
    </w:tbl>
    <w:p w:rsidR="006A4504" w:rsidRDefault="006A4504">
      <w:pPr>
        <w:pStyle w:val="ConsPlusNormal"/>
        <w:sectPr w:rsidR="006A450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ind w:firstLine="540"/>
        <w:jc w:val="both"/>
      </w:pPr>
      <w:r>
        <w:t>--------------------------------</w:t>
      </w:r>
    </w:p>
    <w:p w:rsidR="006A4504" w:rsidRDefault="006A4504">
      <w:pPr>
        <w:pStyle w:val="ConsPlusNormal"/>
        <w:spacing w:before="220"/>
        <w:ind w:firstLine="540"/>
        <w:jc w:val="both"/>
      </w:pPr>
      <w:bookmarkStart w:id="3" w:name="P722"/>
      <w:bookmarkEnd w:id="3"/>
      <w: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jc w:val="both"/>
      </w:pPr>
    </w:p>
    <w:p w:rsidR="006A4504" w:rsidRDefault="006A45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2BD9" w:rsidRDefault="00BD2BD9"/>
    <w:sectPr w:rsidR="00BD2BD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04"/>
    <w:rsid w:val="006A4504"/>
    <w:rsid w:val="00B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2740"/>
  <w15:chartTrackingRefBased/>
  <w15:docId w15:val="{5BEBF987-1600-4866-9973-B8B85927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45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A450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A45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A450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A45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A450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A450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A45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A05558FF1AC7924A7CEC06E46F3CF597D17F65BC56CB505B0B1968298ABE9E9427CCC76E769F62716E233B9820E34291EF68F8F4002AC6i2u0K" TargetMode="External"/><Relationship Id="rId13" Type="http://schemas.openxmlformats.org/officeDocument/2006/relationships/hyperlink" Target="consultantplus://offline/ref=53A05558FF1AC7924A7CEC06E46F3CF591DA7F62B755CB505B0B1968298ABE9E9427CCC76E769F67756E233B9820E34291EF68F8F4002AC6i2u0K" TargetMode="External"/><Relationship Id="rId18" Type="http://schemas.openxmlformats.org/officeDocument/2006/relationships/hyperlink" Target="consultantplus://offline/ref=53A05558FF1AC7924A7CEC06E46F3CF591DA7F62B755CB505B0B1968298ABE9E862794CB6F758162717B756ADEi7u6K" TargetMode="External"/><Relationship Id="rId26" Type="http://schemas.openxmlformats.org/officeDocument/2006/relationships/hyperlink" Target="consultantplus://offline/ref=53A05558FF1AC7924A7CEC06E46F3CF597D17F65BC56CB505B0B1968298ABE9E9427CCC76E769F62716E233B9820E34291EF68F8F4002AC6i2u0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3A05558FF1AC7924A7CEC06E46F3CF591DA7F62B755CB505B0B1968298ABE9E862794CB6F758162717B756ADEi7u6K" TargetMode="External"/><Relationship Id="rId7" Type="http://schemas.openxmlformats.org/officeDocument/2006/relationships/hyperlink" Target="consultantplus://offline/ref=53A05558FF1AC7924A7CEC06E46F3CF597D07B6CB950CB505B0B1968298ABE9E9427CCC76E769F62716E233B9820E34291EF68F8F4002AC6i2u0K" TargetMode="External"/><Relationship Id="rId12" Type="http://schemas.openxmlformats.org/officeDocument/2006/relationships/hyperlink" Target="consultantplus://offline/ref=53A05558FF1AC7924A7CEC06E46F3CF591DA7F62B755CB505B0B1968298ABE9E862794CB6F758162717B756ADEi7u6K" TargetMode="External"/><Relationship Id="rId17" Type="http://schemas.openxmlformats.org/officeDocument/2006/relationships/hyperlink" Target="consultantplus://offline/ref=53A05558FF1AC7924A7CEC06E46F3CF592DA7261BB50CB505B0B1968298ABE9E9427CCC76E769E6B736E233B9820E34291EF68F8F4002AC6i2u0K" TargetMode="External"/><Relationship Id="rId25" Type="http://schemas.openxmlformats.org/officeDocument/2006/relationships/hyperlink" Target="consultantplus://offline/ref=53A05558FF1AC7924A7CEC06E46F3CF597D07B6CB950CB505B0B1968298ABE9E9427CCC76E769F62716E233B9820E34291EF68F8F4002AC6i2u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A05558FF1AC7924A7CEC06E46F3CF592D27266B851CB505B0B1968298ABE9E9427CCC76E769F637A6E233B9820E34291EF68F8F4002AC6i2u0K" TargetMode="External"/><Relationship Id="rId20" Type="http://schemas.openxmlformats.org/officeDocument/2006/relationships/hyperlink" Target="consultantplus://offline/ref=53A05558FF1AC7924A7CEC06E46F3CF590D67B62B954CB505B0B1968298ABE9E862794CB6F758162717B756ADEi7u6K" TargetMode="External"/><Relationship Id="rId29" Type="http://schemas.openxmlformats.org/officeDocument/2006/relationships/hyperlink" Target="consultantplus://offline/ref=53A05558FF1AC7924A7CEC06E46F3CF597D07865B752CB505B0B1968298ABE9E862794CB6F758162717B756ADEi7u6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A05558FF1AC7924A7CEC06E46F3CF597D17D6CB852CB505B0B1968298ABE9E9427CCC76E769F62716E233B9820E34291EF68F8F4002AC6i2u0K" TargetMode="External"/><Relationship Id="rId11" Type="http://schemas.openxmlformats.org/officeDocument/2006/relationships/hyperlink" Target="consultantplus://offline/ref=53A05558FF1AC7924A7CEC06E46F3CF591DA7F62B755CB505B0B1968298ABE9E862794CB6F758162717B756ADEi7u6K" TargetMode="External"/><Relationship Id="rId24" Type="http://schemas.openxmlformats.org/officeDocument/2006/relationships/hyperlink" Target="consultantplus://offline/ref=53A05558FF1AC7924A7CEC06E46F3CF597D27867BE56CB505B0B1968298ABE9E9427CCC76E769F63766E233B9820E34291EF68F8F4002AC6i2u0K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53A05558FF1AC7924A7CEC06E46F3CF597D17F65BC56CB505B0B1968298ABE9E9427CCC76E769F62716E233B9820E34291EF68F8F4002AC6i2u0K" TargetMode="External"/><Relationship Id="rId15" Type="http://schemas.openxmlformats.org/officeDocument/2006/relationships/hyperlink" Target="consultantplus://offline/ref=53A05558FF1AC7924A7CEC06E46F3CF592D47E63BF58965A5352156A2E85E189936EC0C66E769D627931262E8978EF408CF16BE5E80228iCu7K" TargetMode="External"/><Relationship Id="rId23" Type="http://schemas.openxmlformats.org/officeDocument/2006/relationships/hyperlink" Target="consultantplus://offline/ref=53A05558FF1AC7924A7CEC06E46F3CF597D67A62BC55CB505B0B1968298ABE9E862794CB6F758162717B756ADEi7u6K" TargetMode="External"/><Relationship Id="rId28" Type="http://schemas.openxmlformats.org/officeDocument/2006/relationships/hyperlink" Target="consultantplus://offline/ref=53A05558FF1AC7924A7CEC06E46F3CF597D67A65BE5BCB505B0B1968298ABE9E862794CB6F758162717B756ADEi7u6K" TargetMode="External"/><Relationship Id="rId10" Type="http://schemas.openxmlformats.org/officeDocument/2006/relationships/hyperlink" Target="consultantplus://offline/ref=53A05558FF1AC7924A7CEC06E46F3CF590D77D6CBC54CB505B0B1968298ABE9E9427CCC76E769F62756E233B9820E34291EF68F8F4002AC6i2u0K" TargetMode="External"/><Relationship Id="rId19" Type="http://schemas.openxmlformats.org/officeDocument/2006/relationships/hyperlink" Target="consultantplus://offline/ref=53A05558FF1AC7924A7CEC06E46F3CF590D4796DB754CB505B0B1968298ABE9E9427CCC76E769F63766E233B9820E34291EF68F8F4002AC6i2u0K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53A05558FF1AC7924A7CEC06E46F3CF597D07B6CB950CB505B0B1968298ABE9E9427CCC76E769F62716E233B9820E34291EF68F8F4002AC6i2u0K" TargetMode="External"/><Relationship Id="rId9" Type="http://schemas.openxmlformats.org/officeDocument/2006/relationships/hyperlink" Target="consultantplus://offline/ref=53A05558FF1AC7924A7CEC06E46F3CF597D17D6CB852CB505B0B1968298ABE9E9427CCC76E769F62716E233B9820E34291EF68F8F4002AC6i2u0K" TargetMode="External"/><Relationship Id="rId14" Type="http://schemas.openxmlformats.org/officeDocument/2006/relationships/hyperlink" Target="consultantplus://offline/ref=53A05558FF1AC7924A7CEC06E46F3CF590D07964BE51CB505B0B1968298ABE9E9427CCC76E769F63756E233B9820E34291EF68F8F4002AC6i2u0K" TargetMode="External"/><Relationship Id="rId22" Type="http://schemas.openxmlformats.org/officeDocument/2006/relationships/hyperlink" Target="consultantplus://offline/ref=53A05558FF1AC7924A7CEC06E46F3CF597D67A62BC5BCB505B0B1968298ABE9E862794CB6F758162717B756ADEi7u6K" TargetMode="External"/><Relationship Id="rId27" Type="http://schemas.openxmlformats.org/officeDocument/2006/relationships/hyperlink" Target="consultantplus://offline/ref=53A05558FF1AC7924A7CEC06E46F3CF597D17266B955CB505B0B1968298ABE9E9427CCC76E739A657B6E233B9820E34291EF68F8F4002AC6i2u0K" TargetMode="External"/><Relationship Id="rId30" Type="http://schemas.openxmlformats.org/officeDocument/2006/relationships/hyperlink" Target="consultantplus://offline/ref=53A05558FF1AC7924A7CEC06E46F3CF597D17D6CB852CB505B0B1968298ABE9E9427CCC76E769F62716E233B9820E34291EF68F8F4002AC6i2u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8998</Words>
  <Characters>51291</Characters>
  <Application>Microsoft Office Word</Application>
  <DocSecurity>0</DocSecurity>
  <Lines>427</Lines>
  <Paragraphs>120</Paragraphs>
  <ScaleCrop>false</ScaleCrop>
  <Company>SPecialiST RePack</Company>
  <LinksUpToDate>false</LinksUpToDate>
  <CharactersWithSpaces>60169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2023-03-13T10:46:00Z</dcterms:created>
  <dcterms:modified xsi:type="dcterms:W3CDTF">2023-03-13T10:50:00Z</dcterms:modified>
</cp:coreProperties>
</file>