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F6" w:rsidRPr="005214F6" w:rsidRDefault="005214F6" w:rsidP="005214F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214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228D7D" wp14:editId="5D9AC2C9">
            <wp:extent cx="560705" cy="551815"/>
            <wp:effectExtent l="0" t="0" r="0" b="63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4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F6" w:rsidRPr="005214F6" w:rsidRDefault="005214F6" w:rsidP="00521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F6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5214F6" w:rsidRPr="005214F6" w:rsidRDefault="005214F6" w:rsidP="00521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F6">
        <w:rPr>
          <w:rFonts w:ascii="Times New Roman" w:hAnsi="Times New Roman" w:cs="Times New Roman"/>
          <w:b/>
          <w:sz w:val="28"/>
          <w:szCs w:val="28"/>
        </w:rPr>
        <w:t>«КРАСНОГОРСКИЙ  РАЙОН»</w:t>
      </w:r>
    </w:p>
    <w:p w:rsidR="005214F6" w:rsidRPr="005214F6" w:rsidRDefault="005214F6" w:rsidP="005214F6">
      <w:pPr>
        <w:pStyle w:val="4"/>
        <w:jc w:val="center"/>
        <w:rPr>
          <w:sz w:val="28"/>
          <w:szCs w:val="28"/>
        </w:rPr>
      </w:pPr>
      <w:r w:rsidRPr="005214F6">
        <w:rPr>
          <w:sz w:val="28"/>
          <w:szCs w:val="28"/>
        </w:rPr>
        <w:t xml:space="preserve">«КРАСНОГОРСК  ЁРОС»  </w:t>
      </w:r>
    </w:p>
    <w:p w:rsidR="005214F6" w:rsidRDefault="005214F6" w:rsidP="005214F6">
      <w:pPr>
        <w:pStyle w:val="4"/>
        <w:jc w:val="center"/>
        <w:rPr>
          <w:sz w:val="28"/>
          <w:szCs w:val="28"/>
        </w:rPr>
      </w:pPr>
      <w:r w:rsidRPr="005214F6">
        <w:rPr>
          <w:sz w:val="28"/>
          <w:szCs w:val="28"/>
        </w:rPr>
        <w:t xml:space="preserve">МУНИЦИПАЛ  </w:t>
      </w:r>
      <w:r>
        <w:rPr>
          <w:sz w:val="28"/>
          <w:szCs w:val="28"/>
        </w:rPr>
        <w:t>КЫЛДЫТЭТЛЭН  АДМИНИСТРАЦИЕЗ</w:t>
      </w:r>
    </w:p>
    <w:p w:rsidR="005214F6" w:rsidRPr="005214F6" w:rsidRDefault="005214F6" w:rsidP="005214F6">
      <w:pPr>
        <w:rPr>
          <w:lang w:eastAsia="ru-RU"/>
        </w:rPr>
      </w:pPr>
    </w:p>
    <w:p w:rsidR="005214F6" w:rsidRPr="005214F6" w:rsidRDefault="005214F6" w:rsidP="005214F6">
      <w:pPr>
        <w:pStyle w:val="2"/>
        <w:rPr>
          <w:sz w:val="28"/>
          <w:szCs w:val="28"/>
        </w:rPr>
      </w:pPr>
      <w:r w:rsidRPr="005214F6">
        <w:rPr>
          <w:sz w:val="28"/>
          <w:szCs w:val="28"/>
        </w:rPr>
        <w:t>ПОСТАНОВЛЕНИЕ</w:t>
      </w:r>
    </w:p>
    <w:p w:rsidR="005214F6" w:rsidRPr="005214F6" w:rsidRDefault="005214F6" w:rsidP="00521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F6" w:rsidRPr="008F770C" w:rsidRDefault="007623C6" w:rsidP="008F770C">
      <w:pPr>
        <w:pStyle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от  15 августа</w:t>
      </w:r>
      <w:r w:rsidR="005214F6" w:rsidRPr="005214F6">
        <w:rPr>
          <w:b w:val="0"/>
          <w:bCs/>
          <w:sz w:val="28"/>
          <w:szCs w:val="28"/>
        </w:rPr>
        <w:t xml:space="preserve"> 2019 года</w:t>
      </w:r>
      <w:r w:rsidR="005214F6" w:rsidRPr="005214F6">
        <w:rPr>
          <w:b w:val="0"/>
          <w:bCs/>
          <w:sz w:val="28"/>
          <w:szCs w:val="28"/>
        </w:rPr>
        <w:tab/>
        <w:t xml:space="preserve">                                   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№  566</w:t>
      </w:r>
    </w:p>
    <w:p w:rsidR="008F770C" w:rsidRDefault="008F770C" w:rsidP="005214F6">
      <w:pPr>
        <w:tabs>
          <w:tab w:val="left" w:pos="0"/>
        </w:tabs>
        <w:ind w:right="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14F6" w:rsidRPr="005214F6" w:rsidRDefault="005214F6" w:rsidP="005214F6">
      <w:pPr>
        <w:tabs>
          <w:tab w:val="left" w:pos="0"/>
        </w:tabs>
        <w:ind w:right="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4F6">
        <w:rPr>
          <w:rFonts w:ascii="Times New Roman" w:hAnsi="Times New Roman" w:cs="Times New Roman"/>
          <w:b/>
          <w:bCs/>
          <w:sz w:val="20"/>
          <w:szCs w:val="20"/>
        </w:rPr>
        <w:t>с. Красногорское</w:t>
      </w:r>
    </w:p>
    <w:p w:rsidR="00164CE5" w:rsidRDefault="005214F6" w:rsidP="005214F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 утверждении Плана мероприятий </w:t>
      </w:r>
      <w:r w:rsidR="00164C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</w:t>
      </w:r>
      <w:r w:rsidR="00164CE5">
        <w:rPr>
          <w:rFonts w:ascii="Times New Roman" w:hAnsi="Times New Roman"/>
          <w:sz w:val="24"/>
          <w:szCs w:val="24"/>
        </w:rPr>
        <w:t xml:space="preserve">дорожной </w:t>
      </w:r>
      <w:proofErr w:type="gramEnd"/>
    </w:p>
    <w:p w:rsidR="00164CE5" w:rsidRDefault="00164CE5" w:rsidP="005214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карты»)  по  содействию  развитию  конкуренции </w:t>
      </w:r>
    </w:p>
    <w:p w:rsidR="00164CE5" w:rsidRDefault="00164CE5" w:rsidP="005214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муниципальном  образовании  «Красногорский </w:t>
      </w:r>
    </w:p>
    <w:p w:rsidR="005366A4" w:rsidRDefault="00164CE5" w:rsidP="005214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район» на 2019-2022 годы</w:t>
      </w:r>
    </w:p>
    <w:p w:rsidR="00164CE5" w:rsidRPr="005214F6" w:rsidRDefault="00164CE5" w:rsidP="005214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366A4" w:rsidRPr="005214F6" w:rsidRDefault="005366A4" w:rsidP="005214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4F6">
        <w:rPr>
          <w:rFonts w:ascii="Times New Roman" w:hAnsi="Times New Roman"/>
          <w:sz w:val="24"/>
          <w:szCs w:val="24"/>
        </w:rPr>
        <w:t>Во исполнение</w:t>
      </w:r>
      <w:r w:rsidR="00424286" w:rsidRPr="005214F6">
        <w:rPr>
          <w:rFonts w:ascii="Times New Roman" w:hAnsi="Times New Roman"/>
          <w:sz w:val="24"/>
          <w:szCs w:val="24"/>
        </w:rPr>
        <w:t xml:space="preserve"> Указа Президента Российской Федерации</w:t>
      </w:r>
      <w:r w:rsidR="00A65F24" w:rsidRPr="005214F6">
        <w:rPr>
          <w:rFonts w:ascii="Times New Roman" w:hAnsi="Times New Roman"/>
          <w:sz w:val="24"/>
          <w:szCs w:val="24"/>
        </w:rPr>
        <w:t xml:space="preserve"> от 21.12.2017 г № 618 «Об основных направлениях государственной политики по развитию конкуренции», распоряжения Правительства Российской Феде</w:t>
      </w:r>
      <w:r w:rsidR="007623C6">
        <w:rPr>
          <w:rFonts w:ascii="Times New Roman" w:hAnsi="Times New Roman"/>
          <w:sz w:val="24"/>
          <w:szCs w:val="24"/>
        </w:rPr>
        <w:t>рации от 17.04.2019 г № 768-р «Об утверждении</w:t>
      </w:r>
      <w:r w:rsidR="00A65F24" w:rsidRPr="005214F6">
        <w:rPr>
          <w:rFonts w:ascii="Times New Roman" w:hAnsi="Times New Roman"/>
          <w:sz w:val="24"/>
          <w:szCs w:val="24"/>
        </w:rPr>
        <w:t xml:space="preserve"> стандарта развития конкуренции в субъектах Российской Федерации</w:t>
      </w:r>
      <w:r w:rsidR="007623C6">
        <w:rPr>
          <w:rFonts w:ascii="Times New Roman" w:hAnsi="Times New Roman"/>
          <w:sz w:val="24"/>
          <w:szCs w:val="24"/>
        </w:rPr>
        <w:t>»</w:t>
      </w:r>
      <w:r w:rsidR="005214F6">
        <w:rPr>
          <w:rFonts w:ascii="Times New Roman" w:hAnsi="Times New Roman"/>
          <w:sz w:val="24"/>
          <w:szCs w:val="24"/>
        </w:rPr>
        <w:t xml:space="preserve"> и</w:t>
      </w:r>
      <w:r w:rsidR="0078775B" w:rsidRPr="005214F6">
        <w:rPr>
          <w:rFonts w:ascii="Times New Roman" w:hAnsi="Times New Roman"/>
          <w:sz w:val="24"/>
          <w:szCs w:val="24"/>
        </w:rPr>
        <w:t xml:space="preserve"> в целях реализации в муниципальном образовании «Красногорский район» </w:t>
      </w:r>
      <w:r w:rsidRPr="005214F6">
        <w:rPr>
          <w:rFonts w:ascii="Times New Roman" w:hAnsi="Times New Roman"/>
          <w:sz w:val="24"/>
          <w:szCs w:val="24"/>
        </w:rPr>
        <w:t xml:space="preserve">требований </w:t>
      </w:r>
      <w:hyperlink r:id="rId7" w:history="1">
        <w:r w:rsidRPr="005214F6">
          <w:rPr>
            <w:rFonts w:ascii="Times New Roman" w:hAnsi="Times New Roman"/>
            <w:color w:val="0000FF"/>
            <w:sz w:val="24"/>
            <w:szCs w:val="24"/>
          </w:rPr>
          <w:t>Стандарта</w:t>
        </w:r>
      </w:hyperlink>
      <w:r w:rsidRPr="005214F6">
        <w:rPr>
          <w:rFonts w:ascii="Times New Roman" w:hAnsi="Times New Roman"/>
          <w:sz w:val="24"/>
          <w:szCs w:val="24"/>
        </w:rPr>
        <w:t xml:space="preserve"> развития конкуренции в</w:t>
      </w:r>
      <w:r w:rsidR="005214F6" w:rsidRPr="005214F6">
        <w:rPr>
          <w:rFonts w:ascii="Times New Roman" w:hAnsi="Times New Roman"/>
          <w:sz w:val="24"/>
          <w:szCs w:val="24"/>
        </w:rPr>
        <w:t xml:space="preserve"> субъектах Российской Федерации,</w:t>
      </w:r>
      <w:proofErr w:type="gramEnd"/>
    </w:p>
    <w:p w:rsidR="005214F6" w:rsidRPr="005214F6" w:rsidRDefault="005214F6" w:rsidP="005214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14F6" w:rsidRPr="00C11DCD" w:rsidRDefault="005214F6" w:rsidP="005214F6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5214F6" w:rsidRDefault="005214F6" w:rsidP="005214F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14F6" w:rsidRDefault="005214F6" w:rsidP="005214F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Утвердить План мероприятий («дорожную карту») по содействию развитию конкуренции в муниципальном образовании «Красногорский район» на период </w:t>
      </w:r>
      <w:r w:rsidR="007623C6">
        <w:rPr>
          <w:rFonts w:ascii="Times New Roman" w:hAnsi="Times New Roman"/>
          <w:sz w:val="24"/>
          <w:szCs w:val="24"/>
          <w:lang w:eastAsia="ru-RU"/>
        </w:rPr>
        <w:t>2019-2022 годов согласно приложению к настоящему постановлению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214F6" w:rsidRDefault="005214F6" w:rsidP="005214F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«Красногорский район» в сети Интернет (</w:t>
      </w:r>
      <w:hyperlink r:id="rId8" w:history="1">
        <w:r w:rsidR="00D415F5" w:rsidRPr="00E57781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D415F5" w:rsidRPr="00E57781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D415F5" w:rsidRPr="00E57781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mo</w:t>
        </w:r>
        <w:proofErr w:type="spellEnd"/>
        <w:r w:rsidR="00D415F5" w:rsidRPr="00E57781">
          <w:rPr>
            <w:rStyle w:val="a6"/>
            <w:rFonts w:ascii="Times New Roman" w:hAnsi="Times New Roman"/>
            <w:sz w:val="24"/>
            <w:szCs w:val="24"/>
            <w:lang w:eastAsia="ru-RU"/>
          </w:rPr>
          <w:t>-</w:t>
        </w:r>
        <w:proofErr w:type="spellStart"/>
        <w:r w:rsidR="00D415F5" w:rsidRPr="00E57781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krasno</w:t>
        </w:r>
        <w:proofErr w:type="spellEnd"/>
        <w:r w:rsidR="00D415F5" w:rsidRPr="00E57781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D415F5" w:rsidRPr="00E57781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)</w:t>
      </w:r>
      <w:r w:rsidRPr="00BF24B4">
        <w:rPr>
          <w:rFonts w:ascii="Times New Roman" w:hAnsi="Times New Roman"/>
          <w:sz w:val="24"/>
          <w:szCs w:val="24"/>
          <w:lang w:eastAsia="ru-RU"/>
        </w:rPr>
        <w:t>.</w:t>
      </w:r>
    </w:p>
    <w:p w:rsidR="00D415F5" w:rsidRPr="00BF24B4" w:rsidRDefault="00D415F5" w:rsidP="008F77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Признать утратившим силу постановление Администрации муниципального образования «Красногорский район» от 14.03.2017 года № 192 «Об утверждении Плана мероприятий по внедрению стандарта развития конкуренции в субъектах Российской Федерации на территории муниципального образования «Красногорский район»</w:t>
      </w:r>
      <w:r w:rsidR="008F770C">
        <w:rPr>
          <w:rFonts w:ascii="Times New Roman" w:hAnsi="Times New Roman"/>
          <w:sz w:val="24"/>
          <w:szCs w:val="24"/>
          <w:lang w:eastAsia="ru-RU"/>
        </w:rPr>
        <w:t>.</w:t>
      </w:r>
    </w:p>
    <w:p w:rsidR="005214F6" w:rsidRPr="00BF24B4" w:rsidRDefault="008F770C" w:rsidP="005214F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5214F6">
        <w:rPr>
          <w:rFonts w:ascii="Times New Roman" w:hAnsi="Times New Roman"/>
          <w:sz w:val="24"/>
          <w:szCs w:val="24"/>
          <w:lang w:eastAsia="ru-RU"/>
        </w:rPr>
        <w:t>. Контроль за выполнением настоящего постановления возложить на заместителя главы Администрации по финансово-экономическим вопроса</w:t>
      </w:r>
      <w:proofErr w:type="gramStart"/>
      <w:r w:rsidR="005214F6">
        <w:rPr>
          <w:rFonts w:ascii="Times New Roman" w:hAnsi="Times New Roman"/>
          <w:sz w:val="24"/>
          <w:szCs w:val="24"/>
          <w:lang w:eastAsia="ru-RU"/>
        </w:rPr>
        <w:t>м-</w:t>
      </w:r>
      <w:proofErr w:type="gramEnd"/>
      <w:r w:rsidR="005214F6">
        <w:rPr>
          <w:rFonts w:ascii="Times New Roman" w:hAnsi="Times New Roman"/>
          <w:sz w:val="24"/>
          <w:szCs w:val="24"/>
          <w:lang w:eastAsia="ru-RU"/>
        </w:rPr>
        <w:t xml:space="preserve"> начальника Управления финансов Администрации муниципального образования «Красногорский район» </w:t>
      </w:r>
      <w:proofErr w:type="spellStart"/>
      <w:r w:rsidR="005214F6">
        <w:rPr>
          <w:rFonts w:ascii="Times New Roman" w:hAnsi="Times New Roman"/>
          <w:sz w:val="24"/>
          <w:szCs w:val="24"/>
          <w:lang w:eastAsia="ru-RU"/>
        </w:rPr>
        <w:t>Стяжкину</w:t>
      </w:r>
      <w:proofErr w:type="spellEnd"/>
      <w:r w:rsidR="005214F6">
        <w:rPr>
          <w:rFonts w:ascii="Times New Roman" w:hAnsi="Times New Roman"/>
          <w:sz w:val="24"/>
          <w:szCs w:val="24"/>
          <w:lang w:eastAsia="ru-RU"/>
        </w:rPr>
        <w:t xml:space="preserve"> Елену Акимовну.</w:t>
      </w:r>
    </w:p>
    <w:p w:rsidR="007623C6" w:rsidRDefault="007623C6" w:rsidP="005214F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70C" w:rsidRDefault="005214F6" w:rsidP="005214F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11DCD">
        <w:rPr>
          <w:rFonts w:ascii="Times New Roman" w:hAnsi="Times New Roman"/>
          <w:sz w:val="24"/>
          <w:szCs w:val="24"/>
          <w:lang w:eastAsia="ru-RU"/>
        </w:rPr>
        <w:br/>
      </w:r>
    </w:p>
    <w:p w:rsidR="005214F6" w:rsidRDefault="005214F6" w:rsidP="005214F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214F6" w:rsidRDefault="005214F6" w:rsidP="005214F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«Красногорский район»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8F770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В.С.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Корепанов</w:t>
      </w:r>
      <w:proofErr w:type="spellEnd"/>
    </w:p>
    <w:p w:rsidR="008F770C" w:rsidRDefault="008F770C" w:rsidP="008F770C">
      <w:pPr>
        <w:pStyle w:val="a3"/>
        <w:rPr>
          <w:rFonts w:ascii="Times New Roman" w:hAnsi="Times New Roman"/>
        </w:rPr>
      </w:pPr>
    </w:p>
    <w:p w:rsidR="008F770C" w:rsidRPr="008F770C" w:rsidRDefault="008F770C" w:rsidP="008F770C">
      <w:pPr>
        <w:pStyle w:val="a3"/>
        <w:rPr>
          <w:rFonts w:ascii="Times New Roman" w:hAnsi="Times New Roman"/>
        </w:rPr>
        <w:sectPr w:rsidR="008F770C" w:rsidRPr="008F770C" w:rsidSect="008F770C">
          <w:pgSz w:w="11906" w:h="16838"/>
          <w:pgMar w:top="567" w:right="73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33"/>
        <w:gridCol w:w="3377"/>
        <w:gridCol w:w="81"/>
        <w:gridCol w:w="1413"/>
        <w:gridCol w:w="61"/>
        <w:gridCol w:w="4667"/>
        <w:gridCol w:w="17"/>
        <w:gridCol w:w="2552"/>
        <w:gridCol w:w="39"/>
        <w:gridCol w:w="1662"/>
      </w:tblGrid>
      <w:tr w:rsidR="005366A4" w:rsidRPr="005366A4" w:rsidTr="005366A4">
        <w:tc>
          <w:tcPr>
            <w:tcW w:w="794" w:type="dxa"/>
            <w:gridSpan w:val="2"/>
          </w:tcPr>
          <w:p w:rsidR="005366A4" w:rsidRPr="005366A4" w:rsidRDefault="0053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плана</w:t>
            </w:r>
          </w:p>
        </w:tc>
        <w:tc>
          <w:tcPr>
            <w:tcW w:w="3458" w:type="dxa"/>
            <w:gridSpan w:val="2"/>
          </w:tcPr>
          <w:p w:rsidR="005366A4" w:rsidRPr="005366A4" w:rsidRDefault="0053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5366A4" w:rsidRPr="005366A4" w:rsidRDefault="0053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684" w:type="dxa"/>
            <w:gridSpan w:val="2"/>
          </w:tcPr>
          <w:p w:rsidR="005366A4" w:rsidRPr="005366A4" w:rsidRDefault="0053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 реализации</w:t>
            </w:r>
          </w:p>
        </w:tc>
        <w:tc>
          <w:tcPr>
            <w:tcW w:w="2552" w:type="dxa"/>
          </w:tcPr>
          <w:p w:rsidR="005366A4" w:rsidRPr="005366A4" w:rsidRDefault="0053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  <w:gridSpan w:val="2"/>
          </w:tcPr>
          <w:p w:rsidR="005366A4" w:rsidRPr="005366A4" w:rsidRDefault="0053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66A4" w:rsidRPr="005366A4" w:rsidTr="005366A4">
        <w:tc>
          <w:tcPr>
            <w:tcW w:w="14663" w:type="dxa"/>
            <w:gridSpan w:val="11"/>
          </w:tcPr>
          <w:p w:rsidR="005366A4" w:rsidRPr="005366A4" w:rsidRDefault="00E53D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ТОВАРНЫЕ РЫНКИ ДЛЯ СОДЕЙСТВИЯ РАЗВИТИЮ КОНКУРЕНЦИИ</w:t>
            </w:r>
          </w:p>
        </w:tc>
      </w:tr>
      <w:tr w:rsidR="005366A4" w:rsidRPr="005366A4" w:rsidTr="005366A4">
        <w:tc>
          <w:tcPr>
            <w:tcW w:w="14663" w:type="dxa"/>
            <w:gridSpan w:val="11"/>
          </w:tcPr>
          <w:p w:rsidR="005366A4" w:rsidRPr="005366A4" w:rsidRDefault="005366A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1. Рынок услуг дошкольного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и общего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5366A4" w:rsidRPr="005366A4" w:rsidTr="005366A4">
        <w:tc>
          <w:tcPr>
            <w:tcW w:w="14663" w:type="dxa"/>
            <w:gridSpan w:val="11"/>
          </w:tcPr>
          <w:p w:rsidR="005366A4" w:rsidRDefault="0053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2019 года в муниципальном образовании «Красногорский район»  функционировали 7 дошкольных образовательных организаций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 дошкольных групп при общеобразовательных организациях,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образования.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детей,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щавших данные учреждения, - 487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что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62,12%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76,3%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УР)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детей в возрасте от 1 года до 7 лет, проживающих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Красногорского района. Частный сектор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услуг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отсутствует.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общего образования функционирует 7 средних общеобразовательных школ и одна начальная общеобразовательная школа, в которых обучалось 1059 учеников. Частные общеобразовательные школы отсутствуют.</w:t>
            </w:r>
          </w:p>
        </w:tc>
      </w:tr>
      <w:tr w:rsidR="005366A4" w:rsidRPr="005366A4" w:rsidTr="00160FBA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5366A4" w:rsidRPr="005366A4" w:rsidRDefault="0053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5366A4" w:rsidRPr="005366A4" w:rsidRDefault="0053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Систематизация д</w:t>
            </w:r>
            <w:r w:rsidR="00160FBA">
              <w:rPr>
                <w:rFonts w:ascii="Times New Roman" w:hAnsi="Times New Roman" w:cs="Times New Roman"/>
                <w:sz w:val="24"/>
                <w:szCs w:val="24"/>
              </w:rPr>
              <w:t>анных об индивидуальных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предпринимателях и организациях (кроме государственных и муниципальных), оказывающих услуги для детей дошкольного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FBA">
              <w:rPr>
                <w:rFonts w:ascii="Times New Roman" w:hAnsi="Times New Roman" w:cs="Times New Roman"/>
                <w:sz w:val="24"/>
                <w:szCs w:val="24"/>
              </w:rPr>
              <w:t>возраста в Красногорском районе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366A4" w:rsidRPr="005366A4" w:rsidRDefault="005366A4" w:rsidP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 поиск информ</w:t>
            </w:r>
            <w:r w:rsidR="00160FBA">
              <w:rPr>
                <w:rFonts w:ascii="Times New Roman" w:hAnsi="Times New Roman" w:cs="Times New Roman"/>
                <w:sz w:val="24"/>
                <w:szCs w:val="24"/>
              </w:rPr>
              <w:t>ации в СМИ и сети Интернет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5366A4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5366A4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5366A4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5366A4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списка индивидуальных, частных предпринимателей и организаций (кроме государственных и муниципальных), оказывающих услуги для 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школьного </w:t>
            </w:r>
            <w:r w:rsidR="007749B9">
              <w:rPr>
                <w:rFonts w:ascii="Times New Roman" w:hAnsi="Times New Roman" w:cs="Times New Roman"/>
                <w:sz w:val="24"/>
                <w:szCs w:val="24"/>
              </w:rPr>
              <w:t>возраста в МО «Красногорский район»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66A4" w:rsidRPr="005366A4" w:rsidRDefault="0053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Список индивидуальных, частных предпринимателей и организаций (кроме государственных и муниципальных), оказывающих услуги для детей дошкольного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366A4" w:rsidRPr="005366A4" w:rsidRDefault="00774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5366A4" w:rsidRPr="005366A4" w:rsidTr="005366A4">
        <w:tc>
          <w:tcPr>
            <w:tcW w:w="794" w:type="dxa"/>
            <w:gridSpan w:val="2"/>
          </w:tcPr>
          <w:p w:rsidR="005366A4" w:rsidRPr="005366A4" w:rsidRDefault="00774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8" w:type="dxa"/>
            <w:gridSpan w:val="2"/>
          </w:tcPr>
          <w:p w:rsidR="005366A4" w:rsidRPr="005366A4" w:rsidRDefault="0053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административных барьеров и оценки состояния конкурентной среды на рынке услуг дошкольного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74" w:type="dxa"/>
            <w:gridSpan w:val="2"/>
          </w:tcPr>
          <w:p w:rsidR="005366A4" w:rsidRPr="005366A4" w:rsidRDefault="0053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5366A4" w:rsidRPr="005366A4" w:rsidRDefault="0053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потребителей услуг; получение данных для проведения анализа состояния рынка услуг и планирования мероприятий по содействию развитию конкуренции</w:t>
            </w:r>
          </w:p>
        </w:tc>
        <w:tc>
          <w:tcPr>
            <w:tcW w:w="2552" w:type="dxa"/>
          </w:tcPr>
          <w:p w:rsidR="005366A4" w:rsidRPr="005366A4" w:rsidRDefault="0053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</w:t>
            </w:r>
            <w:r w:rsidR="007749B9">
              <w:rPr>
                <w:rFonts w:ascii="Times New Roman" w:hAnsi="Times New Roman" w:cs="Times New Roman"/>
                <w:sz w:val="24"/>
                <w:szCs w:val="24"/>
              </w:rPr>
              <w:t>ские материалы в отдел планово-экономической работы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для ежегодного доклада "Состояние и развитие конкурентной среды на рынках товаров</w:t>
            </w:r>
            <w:r w:rsidR="007749B9">
              <w:rPr>
                <w:rFonts w:ascii="Times New Roman" w:hAnsi="Times New Roman" w:cs="Times New Roman"/>
                <w:sz w:val="24"/>
                <w:szCs w:val="24"/>
              </w:rPr>
              <w:t xml:space="preserve"> и услуг в  МО «Красногорский район»</w:t>
            </w:r>
          </w:p>
        </w:tc>
        <w:tc>
          <w:tcPr>
            <w:tcW w:w="1701" w:type="dxa"/>
            <w:gridSpan w:val="2"/>
          </w:tcPr>
          <w:p w:rsidR="005366A4" w:rsidRPr="005366A4" w:rsidRDefault="00774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58" w:type="dxa"/>
            <w:gridSpan w:val="2"/>
          </w:tcPr>
          <w:p w:rsidR="00A41992" w:rsidRPr="005366A4" w:rsidRDefault="00A41992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народном образовании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закрепляющее полномочия по развитию конкуренции в регулируемой сфере деятельности</w:t>
            </w:r>
          </w:p>
        </w:tc>
        <w:tc>
          <w:tcPr>
            <w:tcW w:w="1474" w:type="dxa"/>
            <w:gridSpan w:val="2"/>
          </w:tcPr>
          <w:p w:rsidR="00A41992" w:rsidRPr="005366A4" w:rsidRDefault="00A41992" w:rsidP="0042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4684" w:type="dxa"/>
            <w:gridSpan w:val="2"/>
          </w:tcPr>
          <w:p w:rsidR="00A41992" w:rsidRPr="005366A4" w:rsidRDefault="00A41992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Закрепление функций по развитию конкуренции в регулируемой сфере деятельности</w:t>
            </w:r>
          </w:p>
        </w:tc>
        <w:tc>
          <w:tcPr>
            <w:tcW w:w="2552" w:type="dxa"/>
          </w:tcPr>
          <w:p w:rsidR="00A41992" w:rsidRPr="005366A4" w:rsidRDefault="00A41992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МО</w:t>
            </w:r>
          </w:p>
        </w:tc>
        <w:tc>
          <w:tcPr>
            <w:tcW w:w="1701" w:type="dxa"/>
            <w:gridSpan w:val="2"/>
          </w:tcPr>
          <w:p w:rsidR="00A41992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2. Рынок услуг детского отдыха и оздоровления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году охват всеми формами отды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детей в Красногорском районе составил 532  ребенка,  516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путевок были частично оплачены за счет средств бюджета Удмуртской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что составляет 50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детей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возраста в количестве 1059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41992" w:rsidRPr="005366A4" w:rsidRDefault="00A41992" w:rsidP="00B20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Механизм финансирования детских путевок предусматривает частичную оплату путевок для детей в детские лагеря, включая лагеря с дневным пребыванием, лагеря труда и отдыха, а также частичное возмещение стоимости детской путевки в загородный лагерь родителям (законным представителям), предприятиям, профсоюзным и иным организациям в размере не менее 50% от средней стоимости путевки, установленной Правительством Удмуртской Республики на текущий год.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Компенсационные выплаты осуществляются независимо от формы собственности загородного лагеря, при этом родители, предприятия (организации) самостоятельно выбирают лагеря. Все организации отдыха и оздоровления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 и подростков заносятся  в республиканский реестр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который ежегодно обновляется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Плана направлены на сохранение численности детей в возрасте от 7 до 17 лет, проживающих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воспользовавшихся компенсацией части стоимости путевки, отдохнувших в организациях отдыха детей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оздоровления, на уровне 2019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и обеспечения отдыха и оздоровления детей в лагерях всех типов и видов, в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в части выплаты компенсации за счет средств бюджета Удмуртской Республики за самостоятельно приобретенные путевки в загородные лагеря всех форм собственности</w:t>
            </w:r>
          </w:p>
        </w:tc>
        <w:tc>
          <w:tcPr>
            <w:tcW w:w="1474" w:type="dxa"/>
            <w:gridSpan w:val="2"/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Приведение деятельности организаций, оказывающих услуги в области детского отдыха и оздоровления, в соответствие требованиям законодательства Российской Федерации; выработка предложений по повышению качества предоставляемых услуг</w:t>
            </w:r>
          </w:p>
        </w:tc>
        <w:tc>
          <w:tcPr>
            <w:tcW w:w="2552" w:type="dxa"/>
          </w:tcPr>
          <w:p w:rsidR="00A41992" w:rsidRPr="005366A4" w:rsidRDefault="00A41992" w:rsidP="00E53D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информации в Минтруд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административных барьеров и оценки состояния конкурентной среды на рынке услуг детского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и оздоровления</w:t>
            </w:r>
          </w:p>
        </w:tc>
        <w:tc>
          <w:tcPr>
            <w:tcW w:w="147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сведений для проведения анализа сферы детского отдыха и оздоровления и планирования мероприятий по содействию развитию конкуренции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материалы в отдел планово-экономической работы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доклада о состоянии конкуренции в МО «Красногорский район»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A41992" w:rsidRPr="005366A4" w:rsidTr="005366A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в республиканский реестр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отдыха и оздоровления детей и подростков всех форм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 территории  Красногорского района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Систематизация сведений об организациях отдыха и оздоровления с целью учета 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организаций на территории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обеспечение доступности информации для потребителей услуг в сфере отдыха и оздоровления детей, представленных в лице предприятий, родителей, (законных представителей), профсоюзных и иных организаций</w:t>
            </w:r>
          </w:p>
        </w:tc>
        <w:tc>
          <w:tcPr>
            <w:tcW w:w="2552" w:type="dxa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версия реестра организаций отдыха и оздоровления детей и подростков на официальном сайте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УР (www.udmedu.ru)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3. Рынок услуг дополнительного образования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образования функционирует 1 учреждение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детей с охватом 1522 ребенка. В  системе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спортивной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авленности занимаются 395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- 110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мероприятий: появление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организаций, осуществляющих образовательную деятельность по дополнительным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программам.</w:t>
            </w:r>
          </w:p>
        </w:tc>
      </w:tr>
      <w:tr w:rsidR="00A41992" w:rsidRPr="005366A4" w:rsidTr="00573EB8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 w:rsidP="00320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Систематизация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об индивидуальных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</w:t>
            </w:r>
            <w:proofErr w:type="gramEnd"/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Актуализация списка индивидуальных, частных предпринимателей и организаций (кроме государственных и муниципальных), оказывающих услуги в сфере дополнительного обр</w:t>
            </w:r>
            <w:r w:rsidR="00320EA1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на официальном сайте МО «Красногорский район»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41992" w:rsidRPr="005366A4" w:rsidTr="00573EB8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Анализ целевого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помещений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 дополнительного образования детей,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невостребованных помещений для ведения образовательной деятельности в сфере дополнительного образования детей с обязательным условием сохранения целевого назначения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2019 - 2022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мерам, направленным на увеличение численности детей и молодежи в возрасте от 5 до 18 лет, получающих образовательные услуги 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дополнительного образования; повышение удовлетворенности населения качеством предоставляемых услуг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для подготовки анализа о передаче и целевом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помещений третьими лицам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Сектор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Рынок медицинских услуг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 w:rsidP="008F0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Красногорского района нет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учреждений здравоохранения, участвующих в реализации территориальных программ обязательного медицинского страхования (ОМС)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1992" w:rsidRPr="005366A4" w:rsidRDefault="00A41992" w:rsidP="008F0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Основными причинами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частной медицины в муниципальном образовании являются небольшая численность населения района, низкие доходы населения, отсутствие инфраструктуры (дорог, отдыха).</w:t>
            </w:r>
          </w:p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состояния конкурентной среды, анализа удовлетворенности потребителей качеством услуг на рынке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услуг в МО «Красногорский район»</w:t>
            </w:r>
          </w:p>
        </w:tc>
        <w:tc>
          <w:tcPr>
            <w:tcW w:w="147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планирования деятельности и мероприятий по содействию развитию конкуренции на рынке медицинских услуг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налитические материалы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«Красногорский район»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5. Рынок розничной торговли фармацевт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продукции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2019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 доля негосударственных аптечных организаций, осуществляющих розничную торговлю фармацевтической продукцией, от общего числа аптечных организаций (юридических лиц 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предпринимателей) составляла 50%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 аптека), что отражает невысокий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конкуренции.</w:t>
            </w:r>
          </w:p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Целями реализуемых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являются: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доли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продукцией.</w:t>
            </w:r>
          </w:p>
        </w:tc>
      </w:tr>
      <w:tr w:rsidR="00A41992" w:rsidRPr="005366A4" w:rsidTr="005366A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Мониторинг структуры рынка розничной торговли фармацевтической продукцией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лекарственных препаратов для населения, в том числе низкого ценового сегмента и сильнодействующих обезболивающих препаратов; характеристика состояния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конкуренции на рынке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фармдеятельности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A41992" w:rsidRPr="005366A4" w:rsidRDefault="00A41992" w:rsidP="00B45A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информация 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Рынок услуг ранней диагностики, социализации, реабилитации и психолого-педагогического сопровождения детей с ограниченными возможностями здоровья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Default="00A41992" w:rsidP="009E4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Обучающимся, не имеющим возможности по состоянию здоровья посещать образовательную организацию, созданы необходимые условия для получения образования по индивидуальной программе на дому.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формой обучения охвачено 11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и детей с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992" w:rsidRPr="005366A4" w:rsidRDefault="00A41992" w:rsidP="009E4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В Удмуртской Республике оказание психолого-педагогической, медицинской и социальной помощи, осуществление функций психолого-медико-педагогической комиссии возложено на ГК ОУ "Республиканский центр диагностики и консультирования для детей, нуждающихся в психолого-педагогической и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помощи". Проблемными вопросами в развитии сферы услуг по сопровождению детей с ОВЗ являются отсутствие участия негосударственного (немуниципального) сектора в области ранней помощи, низкая степень развития сети центров ранней помощи детям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ВЗ.</w:t>
            </w:r>
          </w:p>
        </w:tc>
      </w:tr>
      <w:tr w:rsidR="00A41992" w:rsidRPr="005366A4" w:rsidTr="007B6685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по вопросам предоставления услуг по сопровождению детей с ОВЗ с раннего возраста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сфере услуг по сопровождению детей с ОВЗ для потребителей услуг и негосударственных (немуниципальных) организаций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на официальном сайте МО «Красногорский район»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1992" w:rsidRPr="005366A4" w:rsidTr="00E631BD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поддержке деятельности негосударственных организаций в оказании услуг ранней диагностики, социализации, реабилитации (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 и психолого-педагогического сопровождения детей с ОВЗ (в возрасте до 6 лет)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в оказании услуг ранней диагностики, социализации, реабилитации (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 и психолого-педагогического сопровождения детей с ОВЗ (в возрасте до 6 лет) негосударственным организациям на недискриминационной основе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на 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циальном сайте МО «Красногорский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1992" w:rsidRPr="005366A4" w:rsidTr="00E631BD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финансовой и нефинансовой поддержки частным организациям, оказывающим услуги ранней диагностики, социализации, реабилитации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психолого-педагогического сопровождения детей с инвалидностью, детей с ОВЗ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Привлечение негосударственных (немуниципальных) организаций в сферу социализации, реабилитации и психолого-педагогического сопровождения детей с инвалидностью, детей с ОВЗ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Рынок услуг в сфере культуры</w:t>
            </w:r>
          </w:p>
        </w:tc>
      </w:tr>
      <w:tr w:rsidR="00A41992" w:rsidRPr="005366A4" w:rsidTr="005C59AE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«Красногорский район»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день культуры и 11 сельских домов культуры и клубов, музей, дом ремесел, детская школа искусств,  центральная библиотека с 12 филиалами, детская библиотека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финансирование учреждений культуры составило  45,4 млн. руб.</w:t>
            </w:r>
          </w:p>
          <w:p w:rsidR="00A41992" w:rsidRDefault="00A41992" w:rsidP="0016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культурно-досуговог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типа (домов культуры, домов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ремесел), коллективов художественного народного творчества, фольклорно-этнографических коллективов и национально-культурных объединений направлена на сохранение культурных традиций народов,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оживающих на территории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1992" w:rsidRPr="005366A4" w:rsidRDefault="00A41992" w:rsidP="005C5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мероприятий позволит определенную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долю расходо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бюджета МО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выделяемых на финансирование деятельности организаций всех форм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бственности в сфере культуры, распределять на конкурсной основе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992" w:rsidRPr="005366A4" w:rsidTr="005C59AE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рынка услуг в сфере культуры в разрезе секторов рынка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планирования деятельности и мероприятий по содействию развитию конкуренции на рынке услуг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информация; предложения в 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320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культуре, спорта и молодежной политики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закрепляющее полномочия по развитию конкуренции в регулируемой сфере деятельности</w:t>
            </w:r>
          </w:p>
        </w:tc>
        <w:tc>
          <w:tcPr>
            <w:tcW w:w="147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Закрепление функций по развитию конкуренции в регулируемой сфере деятельности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МО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320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состояния конкурентной среды, анализа удовлетворенности потребителей качеством услуг на рынке услуг в сфере культуры</w:t>
            </w:r>
          </w:p>
        </w:tc>
        <w:tc>
          <w:tcPr>
            <w:tcW w:w="147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планирования деятельности и мероприятий по содействию развитию конкуренции на рынке услуг в сфере культуры</w:t>
            </w:r>
          </w:p>
        </w:tc>
        <w:tc>
          <w:tcPr>
            <w:tcW w:w="2552" w:type="dxa"/>
          </w:tcPr>
          <w:p w:rsidR="00A41992" w:rsidRPr="005366A4" w:rsidRDefault="00A41992" w:rsidP="002016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</w:tc>
      </w:tr>
      <w:tr w:rsidR="00301284" w:rsidRPr="005366A4" w:rsidTr="005366A4">
        <w:tc>
          <w:tcPr>
            <w:tcW w:w="14663" w:type="dxa"/>
            <w:gridSpan w:val="11"/>
          </w:tcPr>
          <w:p w:rsidR="00301284" w:rsidRPr="005366A4" w:rsidRDefault="00C87A49" w:rsidP="00C57A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316C">
              <w:rPr>
                <w:rFonts w:ascii="Times New Roman" w:hAnsi="Times New Roman" w:cs="Times New Roman"/>
                <w:sz w:val="24"/>
                <w:szCs w:val="24"/>
              </w:rPr>
              <w:t>. Рынок ритуальных услуг</w:t>
            </w:r>
          </w:p>
        </w:tc>
      </w:tr>
      <w:tr w:rsidR="00301284" w:rsidRPr="005366A4" w:rsidTr="005366A4">
        <w:tc>
          <w:tcPr>
            <w:tcW w:w="14663" w:type="dxa"/>
            <w:gridSpan w:val="11"/>
          </w:tcPr>
          <w:p w:rsidR="00301284" w:rsidRDefault="00C7316C" w:rsidP="00C7316C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ритуальных услуг на территории Красногорского района действует один предприниматель, имеющий магазин ритуальных принадлежностей и оказывающий услуги по погребению умерших. Население района небольшое,  у части населения сохранилась традиция проведения похорон своими силами.</w:t>
            </w:r>
          </w:p>
          <w:p w:rsidR="00C7316C" w:rsidRDefault="008E3E2C" w:rsidP="00C7316C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="00C7316C">
              <w:rPr>
                <w:rFonts w:ascii="Times New Roman" w:hAnsi="Times New Roman" w:cs="Times New Roman"/>
                <w:sz w:val="24"/>
                <w:szCs w:val="24"/>
              </w:rPr>
              <w:t>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повысить конкуренцию в данной сфере услуг.</w:t>
            </w:r>
          </w:p>
        </w:tc>
      </w:tr>
      <w:tr w:rsidR="00301284" w:rsidRPr="005366A4" w:rsidTr="00301284">
        <w:tc>
          <w:tcPr>
            <w:tcW w:w="761" w:type="dxa"/>
          </w:tcPr>
          <w:p w:rsidR="00301284" w:rsidRDefault="00C87A49" w:rsidP="00C57A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E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10" w:type="dxa"/>
            <w:gridSpan w:val="2"/>
          </w:tcPr>
          <w:p w:rsidR="00301284" w:rsidRDefault="00320EA1" w:rsidP="00C57A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ритуальных услуг</w:t>
            </w:r>
          </w:p>
        </w:tc>
        <w:tc>
          <w:tcPr>
            <w:tcW w:w="1494" w:type="dxa"/>
            <w:gridSpan w:val="2"/>
          </w:tcPr>
          <w:p w:rsidR="00301284" w:rsidRDefault="00320EA1" w:rsidP="00C57A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4728" w:type="dxa"/>
            <w:gridSpan w:val="2"/>
          </w:tcPr>
          <w:p w:rsidR="00301284" w:rsidRDefault="00320EA1" w:rsidP="00C57A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для планирования деятельности и мероприятий по содействию развитию конкуренции на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proofErr w:type="spellEnd"/>
          </w:p>
        </w:tc>
        <w:tc>
          <w:tcPr>
            <w:tcW w:w="2608" w:type="dxa"/>
            <w:gridSpan w:val="3"/>
          </w:tcPr>
          <w:p w:rsidR="00301284" w:rsidRDefault="00320EA1" w:rsidP="00C57A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662" w:type="dxa"/>
          </w:tcPr>
          <w:p w:rsidR="00301284" w:rsidRDefault="00301284" w:rsidP="00C57A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C87A49" w:rsidP="00C57AD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Рынок услуг </w:t>
            </w:r>
            <w:proofErr w:type="gramStart"/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Default="003C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2019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года все 25 МКД управляются профессиональной управляющей организацией, имеющей лицензию и являющейся негосударственной.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>Всего на территории района действует 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 сфере оказания услуг по теплоснабжению, водоснабжению, водоотведению и как 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текущему ремонту общего имущества собственников помещений в многоквартирном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ООО «Энергия».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твердыми коммун</w:t>
            </w:r>
            <w:r w:rsidR="00C7316C">
              <w:rPr>
                <w:rFonts w:ascii="Times New Roman" w:hAnsi="Times New Roman" w:cs="Times New Roman"/>
                <w:sz w:val="24"/>
                <w:szCs w:val="24"/>
              </w:rPr>
              <w:t>альными отходами действует 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оператор, </w:t>
            </w:r>
            <w:r w:rsidR="00C7316C">
              <w:rPr>
                <w:rFonts w:ascii="Times New Roman" w:hAnsi="Times New Roman" w:cs="Times New Roman"/>
                <w:sz w:val="24"/>
                <w:szCs w:val="24"/>
              </w:rPr>
              <w:t>выбранный на конкурсной основе в целом по Удмуртской Республике.</w:t>
            </w:r>
          </w:p>
          <w:p w:rsidR="00A41992" w:rsidRDefault="00A41992" w:rsidP="002A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отаны мероприятия по  наличию в отделе строительства и ЖКХ Администрации МО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"горячей телефонной линии", а также электронной формы обратной связи в сети Интернет (с возможностью прикрепления файлов фот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 видеосъемки) для обращений заинтересованных лиц по вопросам в сфере ЖКХ. </w:t>
            </w:r>
          </w:p>
          <w:p w:rsidR="00A41992" w:rsidRPr="005366A4" w:rsidRDefault="00A41992" w:rsidP="002A6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Цель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-  развитие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 в сфере ЖКХ</w:t>
            </w:r>
          </w:p>
        </w:tc>
      </w:tr>
      <w:tr w:rsidR="00A41992" w:rsidRPr="005366A4" w:rsidTr="00B349DF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A41992" w:rsidRPr="005366A4" w:rsidRDefault="00C87A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Информирование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нников помещений в МКД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интернет-сайт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 об обязанностях управляющих организаций, правах и обязанностях собственников жилых помещений в МКД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A41992" w:rsidRPr="005366A4" w:rsidRDefault="00C7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размещенной информации,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публикации в сети Интернет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A41992" w:rsidRPr="005366A4" w:rsidTr="006C6ACA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C87A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 w:rsidP="00B3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Разработка графиков передачи частным операторам на основе концессионных соглашений объектов жилищно-коммунального хозяйства</w:t>
            </w:r>
            <w:r w:rsidR="00C7316C">
              <w:rPr>
                <w:rFonts w:ascii="Times New Roman" w:hAnsi="Times New Roman" w:cs="Times New Roman"/>
                <w:sz w:val="24"/>
                <w:szCs w:val="24"/>
              </w:rPr>
              <w:t>, в том числе в сфере теплоснабжения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 w:rsidP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84F">
              <w:rPr>
                <w:rFonts w:ascii="Times New Roman" w:hAnsi="Times New Roman" w:cs="Times New Roman"/>
                <w:sz w:val="24"/>
                <w:szCs w:val="24"/>
              </w:rPr>
              <w:t>9 - 2022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ЖКХ за счет развития сектора негосударственных (немуниципальных) организаций,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ающих услуги по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тепло-, водоснабжению, водоотведению, очистке 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модернизация объектов ЖКХ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График передачи частным операторам объектов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на основе концессионных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оглашений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ЖКХ, Сектор по управлению имуществом</w:t>
            </w:r>
          </w:p>
        </w:tc>
      </w:tr>
      <w:tr w:rsidR="00A41992" w:rsidRPr="005366A4" w:rsidTr="006C6ACA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C87A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"горячей телефонной линии", а также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формы обратной связи через 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ет-сайт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(с возможностью прикрепления файлов фот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 видеосъемки) в целях сбора информации о нарушениях в сфере ЖКХ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взаимодействия с потребителями работ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услуг; повышение эффективности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жилищного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сайте МО «Красногорский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ЖКХ</w:t>
            </w:r>
          </w:p>
        </w:tc>
      </w:tr>
      <w:tr w:rsidR="00A41992" w:rsidRPr="005366A4" w:rsidTr="006C6ACA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C87A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объема информации, раскрываемой управляющими и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анизациями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 РФ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отрасли ЖКХ; раскрытие управляющими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анизациями в районе 100% информации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МО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данные ГИС ЖКХ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10. Рынок усл</w:t>
            </w:r>
            <w:r w:rsidR="00E52A32">
              <w:rPr>
                <w:rFonts w:ascii="Times New Roman" w:hAnsi="Times New Roman" w:cs="Times New Roman"/>
                <w:sz w:val="24"/>
                <w:szCs w:val="24"/>
              </w:rPr>
              <w:t>уг перевозок пассажиров автомобильным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</w:t>
            </w:r>
            <w:r w:rsidR="00E52A32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муниципальным маршрутам регулярных перевозок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 состоянию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 января 2018 года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осуществляются негосударственными перевозчиками. Общее количество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шрутов – 6, все они нерентабельны.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организации в целях сокращения убытков активно проводят 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имизацию маршрутной сети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сокращ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рейсов. 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сновным направлением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будет реализация положений Федерального </w:t>
            </w:r>
            <w:hyperlink r:id="rId9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мероприятий - сохранение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перев</w:t>
            </w:r>
            <w:r w:rsidR="00E52A32">
              <w:rPr>
                <w:rFonts w:ascii="Times New Roman" w:hAnsi="Times New Roman" w:cs="Times New Roman"/>
                <w:sz w:val="24"/>
                <w:szCs w:val="24"/>
              </w:rPr>
              <w:t xml:space="preserve">озчиков на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перевозках.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458" w:type="dxa"/>
            <w:gridSpan w:val="2"/>
          </w:tcPr>
          <w:p w:rsidR="00A41992" w:rsidRPr="005366A4" w:rsidRDefault="00A41992" w:rsidP="00C87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Анализ пассажиропотока и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шрутной сети </w:t>
            </w:r>
            <w:r w:rsidR="00C87A49">
              <w:rPr>
                <w:rFonts w:ascii="Times New Roman" w:hAnsi="Times New Roman" w:cs="Times New Roman"/>
                <w:sz w:val="24"/>
                <w:szCs w:val="24"/>
              </w:rPr>
              <w:t>муниципальных перевозок</w:t>
            </w:r>
          </w:p>
        </w:tc>
        <w:tc>
          <w:tcPr>
            <w:tcW w:w="147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р</w:t>
            </w:r>
            <w:r w:rsidR="00E52A32">
              <w:rPr>
                <w:rFonts w:ascii="Times New Roman" w:hAnsi="Times New Roman" w:cs="Times New Roman"/>
                <w:sz w:val="24"/>
                <w:szCs w:val="24"/>
              </w:rPr>
              <w:t xml:space="preserve">асширению маршрутной сети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муниципальных перевозок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Информация для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УР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к перевозкам пассажиров на низкорентабельных маршрутах альтернативн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перевозчиков,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маломестные микроавтобусы</w:t>
            </w:r>
          </w:p>
        </w:tc>
        <w:tc>
          <w:tcPr>
            <w:tcW w:w="1474" w:type="dxa"/>
            <w:gridSpan w:val="2"/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рентабельности маршрутов; развитие конкурентной среды на рынке услуг перевозок пассажиров; повышение 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услуг для населения района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рекомендации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Миндортранса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маршрутов и реестра перевозчиков, осуществляющих обслуживание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пассажиров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МО</w:t>
            </w:r>
          </w:p>
        </w:tc>
        <w:tc>
          <w:tcPr>
            <w:tcW w:w="1474" w:type="dxa"/>
            <w:gridSpan w:val="2"/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2019 - 2022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доступности и уровня информированности потребителей услуг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размещенные на официальном сайте МО «Красногорский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строительства и ЖКХ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458" w:type="dxa"/>
            <w:gridSpan w:val="2"/>
          </w:tcPr>
          <w:p w:rsidR="00A41992" w:rsidRPr="005366A4" w:rsidRDefault="00A41992" w:rsidP="00B11F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требований Федерального </w:t>
            </w:r>
            <w:hyperlink r:id="rId10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gridSpan w:val="2"/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A41992" w:rsidRPr="005366A4" w:rsidRDefault="00A41992" w:rsidP="00723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добросовестной конкуренции на рынке услуг перевозок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ассажиров наземным транспортом;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МО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конкурса, договор об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регулярных перевозок 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состояния и оценки состояния конкурентной среды на рынке перевозок автомобильным пассажирским транспортом</w:t>
            </w:r>
          </w:p>
        </w:tc>
        <w:tc>
          <w:tcPr>
            <w:tcW w:w="147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проведения анализа состояния рынка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в Минэкономики УР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доведенной квоты</w:t>
            </w:r>
          </w:p>
        </w:tc>
        <w:tc>
          <w:tcPr>
            <w:tcW w:w="1701" w:type="dxa"/>
            <w:gridSpan w:val="2"/>
          </w:tcPr>
          <w:p w:rsidR="00A41992" w:rsidRPr="005366A4" w:rsidRDefault="003C6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11. Рынок услуг связи</w:t>
            </w:r>
            <w:r w:rsidR="00E52A32">
              <w:rPr>
                <w:rFonts w:ascii="Times New Roman" w:hAnsi="Times New Roman" w:cs="Times New Roman"/>
                <w:sz w:val="24"/>
                <w:szCs w:val="24"/>
              </w:rPr>
              <w:t>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услуг, наличие доступной связи позволит повысить инвестиционную привлека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района. Д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оля домохозяйств, имеющих возможность пользоваться услугами проводного или мобильного широкополосного доступа (далее - ШПД) к сети Интернет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 менее 20%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Основными проблемами являются: сложность в проклад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сетей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длительность процедур оформления разрешительных документов на размещение оборудования связи; высокие ставки арендной платы при размещении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связи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; низкий уровень тарифов на услуги связи, что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снижает экономические показатели операторов связи и препятствует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инвестициям в развитие сетей связи.</w:t>
            </w:r>
          </w:p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позволит увеличить долю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домохозяйств, имеющих возможность пользоваться услугами проводного или мобильного ШПД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сети Интернет</w:t>
            </w:r>
          </w:p>
        </w:tc>
      </w:tr>
      <w:tr w:rsidR="00A41992" w:rsidRPr="005366A4" w:rsidTr="00BC0FF0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ормирование нормативно-правовой базы, направленной на оказание содействия операторам связи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2019 - 20222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домашних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услугами связи, включая услуги ШПД к сети Интернет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МО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информатизации,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A41992" w:rsidRPr="005366A4" w:rsidTr="00BC0FF0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территории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услугами связи, включая ШПД к сети Интернет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Устранение "цифровог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неравенства"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выявление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орий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где ни один оператор связи не оказывает услуг ШПД к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сайте МО «Красногорский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информатизации,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при строительстве (эксплуатации) сетей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состояния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конкурентной среды на рынке услуг связи</w:t>
            </w:r>
          </w:p>
        </w:tc>
        <w:tc>
          <w:tcPr>
            <w:tcW w:w="1474" w:type="dxa"/>
            <w:gridSpan w:val="2"/>
            <w:vMerge w:val="restart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  <w:vMerge w:val="restart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анализа отрасли 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квоты в Минэкономики УР 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A41992" w:rsidRPr="005366A4" w:rsidTr="005366A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удовлетворенности потребителей качеством услуг на рынке услуг связи</w:t>
            </w:r>
          </w:p>
        </w:tc>
        <w:tc>
          <w:tcPr>
            <w:tcW w:w="1474" w:type="dxa"/>
            <w:gridSpan w:val="2"/>
            <w:vMerge/>
            <w:tcBorders>
              <w:bottom w:val="nil"/>
            </w:tcBorders>
          </w:tcPr>
          <w:p w:rsidR="00A41992" w:rsidRPr="005366A4" w:rsidRDefault="00A4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vMerge/>
            <w:tcBorders>
              <w:bottom w:val="nil"/>
            </w:tcBorders>
          </w:tcPr>
          <w:p w:rsidR="00A41992" w:rsidRPr="005366A4" w:rsidRDefault="00A4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A41992" w:rsidRPr="005366A4" w:rsidRDefault="00A4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A41992" w:rsidRPr="005366A4" w:rsidRDefault="00A4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E52A3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Рынок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циальных услуг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Default="00A41992" w:rsidP="0037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Красногорском районе отсутствуют негосударственные организации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в сфере социальных услуг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Основными причинами отсутствия интереса организаций негосударственного сектора являются нерентабельность бизнеса, неплатежеспособность потребителей услуг (пенсионеры, инвалиды). Необходимость расширения присутствия на рынке социальных услуг негосударственных организаций обусловлена вступлением в силу с 1 января 2015 года отдельных положений </w:t>
            </w:r>
            <w:hyperlink r:id="rId11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"Об основах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в Российской Федерации"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1992" w:rsidRPr="005366A4" w:rsidRDefault="00A41992" w:rsidP="00376A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развить конкуренцию на рынке социальных услуг. </w:t>
            </w:r>
          </w:p>
        </w:tc>
      </w:tr>
      <w:tr w:rsidR="00A41992" w:rsidRPr="005366A4" w:rsidTr="005366A4">
        <w:tc>
          <w:tcPr>
            <w:tcW w:w="794" w:type="dxa"/>
            <w:gridSpan w:val="2"/>
            <w:vMerge w:val="restart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Федерального </w:t>
            </w:r>
            <w:hyperlink r:id="rId12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2013 года N 442-ФЗ "Об основах социального обслуживания граждан в Российской Федерации" по организации социального обслуживания населения, в том числе:</w:t>
            </w:r>
          </w:p>
        </w:tc>
        <w:tc>
          <w:tcPr>
            <w:tcW w:w="1474" w:type="dxa"/>
            <w:gridSpan w:val="2"/>
            <w:vMerge w:val="restart"/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на рынке социальных услуг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Администрация МО «Красногорский район» по социальным вопросам</w:t>
            </w:r>
          </w:p>
        </w:tc>
      </w:tr>
      <w:tr w:rsidR="00A41992" w:rsidRPr="005366A4" w:rsidTr="005366A4">
        <w:tc>
          <w:tcPr>
            <w:tcW w:w="794" w:type="dxa"/>
            <w:gridSpan w:val="2"/>
            <w:vMerge/>
          </w:tcPr>
          <w:p w:rsidR="00A41992" w:rsidRPr="005366A4" w:rsidRDefault="00A4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путем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встреч,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информации в сети Интернет о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рынке социальных услуг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включения в реестр поставщиков социальных услуг Удмуртской Республики</w:t>
            </w:r>
          </w:p>
        </w:tc>
        <w:tc>
          <w:tcPr>
            <w:tcW w:w="1474" w:type="dxa"/>
            <w:gridSpan w:val="2"/>
            <w:vMerge/>
          </w:tcPr>
          <w:p w:rsidR="00A41992" w:rsidRPr="005366A4" w:rsidRDefault="00A4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социальных услуг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Информация в СМИ, на 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циальном сайте МО «Красногорский район»</w:t>
            </w:r>
          </w:p>
        </w:tc>
        <w:tc>
          <w:tcPr>
            <w:tcW w:w="1701" w:type="dxa"/>
            <w:gridSpan w:val="2"/>
            <w:vMerge/>
          </w:tcPr>
          <w:p w:rsidR="00A41992" w:rsidRPr="005366A4" w:rsidRDefault="00A4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удовлетворенности потребителей качеством услуг на рынке социальных услуг</w:t>
            </w:r>
          </w:p>
        </w:tc>
        <w:tc>
          <w:tcPr>
            <w:tcW w:w="1474" w:type="dxa"/>
            <w:gridSpan w:val="2"/>
          </w:tcPr>
          <w:p w:rsidR="00A41992" w:rsidRPr="005366A4" w:rsidRDefault="00A41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A41992" w:rsidRPr="005366A4" w:rsidRDefault="00A41992" w:rsidP="004F2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для проведения анализа отрасли 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квоты в Минэкономики УР 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Pr="005366A4" w:rsidRDefault="00C524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Рынок реализации сельскохозяйственной продукции</w:t>
            </w:r>
          </w:p>
        </w:tc>
      </w:tr>
      <w:tr w:rsidR="00A41992" w:rsidRPr="005366A4" w:rsidTr="005366A4">
        <w:tc>
          <w:tcPr>
            <w:tcW w:w="14663" w:type="dxa"/>
            <w:gridSpan w:val="11"/>
          </w:tcPr>
          <w:p w:rsidR="00A41992" w:rsidRDefault="00A41992" w:rsidP="004A6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 в МО «Красногорский район» составила в 2018 году 10,2</w:t>
            </w:r>
            <w:r w:rsidR="00C524F0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тонн, мяса -1,3 тыс. тонн, картофеля -4,6 тыс. тонн, овощей – 4,1 тыс. тонн.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4F0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родукция реализуется на перерабатывающие предприятия Удмуртской Республики,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загруженность мощнос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которых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всего 67%.</w:t>
            </w:r>
            <w:r w:rsidR="00C524F0"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7 предприятий и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24F0">
              <w:rPr>
                <w:rFonts w:ascii="Times New Roman" w:hAnsi="Times New Roman" w:cs="Times New Roman"/>
                <w:sz w:val="24"/>
                <w:szCs w:val="24"/>
              </w:rPr>
              <w:t xml:space="preserve">)Х – юридические лица, а также 6 К(Ф)Х- предпринимателей. </w:t>
            </w:r>
          </w:p>
          <w:p w:rsidR="00A41992" w:rsidRPr="005366A4" w:rsidRDefault="00A41992" w:rsidP="004A6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 повысить конкуренцию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рынке, содействует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достижению обоснованной потребности на душу н</w:t>
            </w:r>
            <w:r w:rsidR="00C524F0">
              <w:rPr>
                <w:rFonts w:ascii="Times New Roman" w:hAnsi="Times New Roman" w:cs="Times New Roman"/>
                <w:sz w:val="24"/>
                <w:szCs w:val="24"/>
              </w:rPr>
              <w:t>аселения в молочных и мясных продуктах.</w:t>
            </w:r>
          </w:p>
        </w:tc>
      </w:tr>
      <w:tr w:rsidR="00A41992" w:rsidRPr="005366A4" w:rsidTr="005366A4">
        <w:tc>
          <w:tcPr>
            <w:tcW w:w="794" w:type="dxa"/>
            <w:gridSpan w:val="2"/>
          </w:tcPr>
          <w:p w:rsidR="00A41992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458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инвесторов и их привлечение к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инвестиционных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направленных н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>а увеличение производства сельхозпродукции</w:t>
            </w:r>
          </w:p>
        </w:tc>
        <w:tc>
          <w:tcPr>
            <w:tcW w:w="1474" w:type="dxa"/>
            <w:gridSpan w:val="2"/>
          </w:tcPr>
          <w:p w:rsidR="00A41992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="00A419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A41992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сельхозпродукции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реализации инвестиционных проектов (в том числе на условиях ГЧП) по строительству новых ферм, модернизации техники, увеличению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оловья</w:t>
            </w:r>
            <w:r w:rsidR="00A41992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скота, внедрение новых 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 производства продукции</w:t>
            </w:r>
          </w:p>
        </w:tc>
        <w:tc>
          <w:tcPr>
            <w:tcW w:w="2552" w:type="dxa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701" w:type="dxa"/>
            <w:gridSpan w:val="2"/>
          </w:tcPr>
          <w:p w:rsidR="00A41992" w:rsidRPr="005366A4" w:rsidRDefault="00A41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458" w:type="dxa"/>
            <w:gridSpan w:val="2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и технологической модернизации сельскохозяйственного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оизводства МО</w:t>
            </w:r>
          </w:p>
        </w:tc>
        <w:tc>
          <w:tcPr>
            <w:tcW w:w="1474" w:type="dxa"/>
            <w:gridSpan w:val="2"/>
          </w:tcPr>
          <w:p w:rsidR="002D374D" w:rsidRPr="005366A4" w:rsidRDefault="002D374D" w:rsidP="0042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84" w:type="dxa"/>
            <w:gridSpan w:val="2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Стимулирование сельскохозяйственных товаропроизводителей к применению современных технологий и оборудования в целях производства конкурентоспособной продукции</w:t>
            </w:r>
          </w:p>
        </w:tc>
        <w:tc>
          <w:tcPr>
            <w:tcW w:w="2552" w:type="dxa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обновления основных фондов</w:t>
            </w:r>
          </w:p>
        </w:tc>
        <w:tc>
          <w:tcPr>
            <w:tcW w:w="1701" w:type="dxa"/>
            <w:gridSpan w:val="2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458" w:type="dxa"/>
            <w:gridSpan w:val="2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имеющимся мерам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для повышения доступности кредитов и займов для организаций агропромышленного комплекса</w:t>
            </w:r>
          </w:p>
        </w:tc>
        <w:tc>
          <w:tcPr>
            <w:tcW w:w="1474" w:type="dxa"/>
            <w:gridSpan w:val="2"/>
          </w:tcPr>
          <w:p w:rsidR="002D374D" w:rsidRPr="005366A4" w:rsidRDefault="002D374D" w:rsidP="0042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684" w:type="dxa"/>
            <w:gridSpan w:val="2"/>
          </w:tcPr>
          <w:p w:rsidR="002D374D" w:rsidRPr="005366A4" w:rsidRDefault="002D374D" w:rsidP="00424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1701" w:type="dxa"/>
            <w:gridSpan w:val="2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</w:tc>
        <w:tc>
          <w:tcPr>
            <w:tcW w:w="3458" w:type="dxa"/>
            <w:gridSpan w:val="2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 семеноводческих предприятий</w:t>
            </w:r>
          </w:p>
        </w:tc>
        <w:tc>
          <w:tcPr>
            <w:tcW w:w="1474" w:type="dxa"/>
            <w:gridSpan w:val="2"/>
          </w:tcPr>
          <w:p w:rsidR="002D374D" w:rsidRPr="005366A4" w:rsidRDefault="003D384F" w:rsidP="0042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4684" w:type="dxa"/>
            <w:gridSpan w:val="2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производства высококачественными семенами сельскохозяйственны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растений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01" w:type="dxa"/>
            <w:gridSpan w:val="2"/>
          </w:tcPr>
          <w:p w:rsidR="002D374D" w:rsidRPr="005366A4" w:rsidRDefault="002D374D" w:rsidP="0042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 механизмов для развития деятельности сельскохозяйственных снабженческо-сбытовых и перерабатывающих потребительских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кооперативов </w:t>
            </w:r>
          </w:p>
        </w:tc>
        <w:tc>
          <w:tcPr>
            <w:tcW w:w="1474" w:type="dxa"/>
            <w:gridSpan w:val="2"/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сельхозкооперации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«Красногорский район»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на сайте МО «Красногорский район»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Минсельхозпрод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производства и переработки сельскохозяйственной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проведения анализа состояния рынка услуг и планирования мероприятий по содействию развитию конкуренции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по результатам анкетирования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Отдел планово-экономической работы</w:t>
            </w:r>
          </w:p>
        </w:tc>
      </w:tr>
      <w:tr w:rsidR="002D374D" w:rsidRPr="005366A4" w:rsidTr="000E5C9E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Мониторинг закупочн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цен на молочное сырье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 цен реализации молочной продукции местных производителей и производителей иных регионов в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говой сети 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Информация, формирование предложений по развитию рынка молока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отдел планово-экономической работы</w:t>
            </w:r>
          </w:p>
        </w:tc>
      </w:tr>
      <w:tr w:rsidR="002D374D" w:rsidRPr="005366A4" w:rsidTr="000E5C9E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 w:rsidP="000E5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проводимых на уровне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овышении квалификации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учебах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агропромышленного комплекса, в том числе в сферах животноводства, растениеводства, производства молочной продукции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агропромышленного комплекса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ликвидация дефицита квалифицированных кадров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Учебные планы, информационные письма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сельхозпрод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374D" w:rsidRPr="005366A4" w:rsidTr="000E5C9E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Рынок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объектов капитального строительства и жилья</w:t>
            </w:r>
          </w:p>
        </w:tc>
      </w:tr>
      <w:tr w:rsidR="002D374D" w:rsidRPr="005366A4" w:rsidTr="00A82C04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2019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жилья в  эксплуатацию составил 1215 кв. м. индивидуальными застройщиками. Услуги по строительству индивидуального жилья оказываются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Стройснабсервис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ИП «Невоструев А.Г. , ИП «Коробейников Р.В.». Строительных организаций по капитальному строительству на территории района нет. Зарегистрировано 10 ИП 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«Арин-Берд, ООО «Русский лес», ООО «Муравейник»), </w:t>
            </w:r>
            <w:r w:rsidRPr="00423334">
              <w:rPr>
                <w:rFonts w:ascii="Times New Roman" w:hAnsi="Times New Roman" w:cs="Times New Roman"/>
                <w:sz w:val="24"/>
                <w:szCs w:val="24"/>
              </w:rPr>
              <w:t>занимающихся строительством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нежилых зданий и отделочными</w:t>
            </w:r>
            <w:r w:rsidRPr="00423334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работами.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развития жилищного строительства определены постановлениями Правительства Удмуртской Республики от 17 августа 2015 года </w:t>
            </w:r>
            <w:hyperlink r:id="rId13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408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государственной программы Удмуртской Республики "Развитие строительной отрасли и регулирование градостроительной деятельности в Удмуртской Республике", от 2 сентября 2014 года </w:t>
            </w:r>
            <w:hyperlink r:id="rId14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341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 реализации программы "Жилье для российской семьи" в рамках государственной </w:t>
            </w:r>
            <w:hyperlink r:id="rId15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"Обеспечение доступным и комфортным жильем и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коммунальными услугами граждан Российской Федерации".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Плана направлены 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конкурентной среды в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строительства.</w:t>
            </w:r>
            <w:proofErr w:type="gramEnd"/>
          </w:p>
        </w:tc>
      </w:tr>
      <w:tr w:rsidR="002D374D" w:rsidRPr="005366A4" w:rsidTr="00A82C0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на рынке строительства жилья, в том числе стандартного жилья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для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ЖКХ, Минстрой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административных регламентов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оказании услуг  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получении исходно-разрешительной документации на строительство</w:t>
            </w:r>
          </w:p>
        </w:tc>
        <w:tc>
          <w:tcPr>
            <w:tcW w:w="1474" w:type="dxa"/>
            <w:gridSpan w:val="2"/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состояния конкурентной среды на рынке строительства жилья (в том числе стандартного жилья)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проведения анализа состояния отрасли и планирования мероприятий по содействию развитию конкуренции</w:t>
            </w:r>
          </w:p>
        </w:tc>
        <w:tc>
          <w:tcPr>
            <w:tcW w:w="2552" w:type="dxa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458" w:type="dxa"/>
            <w:gridSpan w:val="2"/>
          </w:tcPr>
          <w:p w:rsidR="002D374D" w:rsidRPr="005366A4" w:rsidRDefault="002D374D" w:rsidP="00207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подпрограммой «Содержание и развитие муниципального хозяйства» муниципаль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«Содержание и развитие муниципального хозяйства МО «Красногорский район»</w:t>
            </w:r>
          </w:p>
        </w:tc>
        <w:tc>
          <w:tcPr>
            <w:tcW w:w="1474" w:type="dxa"/>
            <w:gridSpan w:val="2"/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строительства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жилья; увеличение объемов жилищного строительства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реализации муниципаль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ЖКХ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Рынок  кадастровых и землеустроительных работ</w:t>
            </w:r>
          </w:p>
        </w:tc>
      </w:tr>
      <w:tr w:rsidR="002D374D" w:rsidRPr="005366A4" w:rsidTr="0020742D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рынка кадастровых и землеустроительных работ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снижение временных и материальных затрат в сфере постановки на государственный кадастровый учет объектов недвижимости (объектов капитального строительства и земельных участков). Увеличение числа кадастровых инженеров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создает развитую конкурентную среду на данном рынке и тем самым способствует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улучшению качества работ (услуг).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Красногорском районе имеется только 1 специалист с аттестатом кадастрового инженера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сделать вывод о низком уровне обеспеченности имеющейся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населения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кадастровых работ (11,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5 кадастровых инженеров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населения).</w:t>
            </w:r>
          </w:p>
        </w:tc>
      </w:tr>
      <w:tr w:rsidR="002D374D" w:rsidRPr="005366A4" w:rsidTr="00C068BA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 w:rsidP="00BC7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ных контрактов на выполнение кадастровых работ в отношении объектов недвижимости, находящихся в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 МО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заключение договоров на выполнение землеустроительных и кадастровых работ 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в интересах социально-экономическог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развития МО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развитие инфраструктуры пространственных данных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кадастра недвижимости в МО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ные контракты на выполнение указанных кадастровых работ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имуществом</w:t>
            </w:r>
          </w:p>
        </w:tc>
      </w:tr>
      <w:tr w:rsidR="002D374D" w:rsidRPr="005366A4" w:rsidTr="00BC7E5A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кадастровых услуг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проведения анализа состояния отрасли и планирования мероприятий по содействию развитию конкуренции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имуществом</w:t>
            </w:r>
          </w:p>
        </w:tc>
      </w:tr>
      <w:tr w:rsidR="002D374D" w:rsidRPr="005366A4" w:rsidTr="00BC7E5A">
        <w:tblPrEx>
          <w:tblBorders>
            <w:left w:val="nil"/>
            <w:insideH w:val="nil"/>
          </w:tblBorders>
        </w:tblPrEx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16. Рынок услуг в сфере туризма</w:t>
            </w:r>
          </w:p>
        </w:tc>
      </w:tr>
      <w:tr w:rsidR="002D374D" w:rsidRPr="005366A4" w:rsidTr="00D01577">
        <w:tc>
          <w:tcPr>
            <w:tcW w:w="14663" w:type="dxa"/>
            <w:gridSpan w:val="11"/>
            <w:tcBorders>
              <w:top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Природный и историко-культурный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развивать многие виды туризма - культурно-познавательный, сельский, событийный, активный (в том числе спортивно-оздоровительный),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еский,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охотничье-промысловый.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разработанных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маршр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утов -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4 маршрута.</w:t>
            </w:r>
          </w:p>
          <w:p w:rsidR="002D374D" w:rsidRPr="005366A4" w:rsidRDefault="002D374D" w:rsidP="003E6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поток по муниципальному образованию «Красногорский район» в 2018 году составил более 5,0 тыс. человек.</w:t>
            </w:r>
          </w:p>
          <w:p w:rsidR="002D374D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популярное туристическое направление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сказочная страна «Лукоморье» на базе центра досуга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Малягурт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Показателями эффективности мероприятий и развития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увеличение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туристического потока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,0 тыс. человек и расширение перечня событийных турис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мероприятий (не менее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5 ед.).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зработка и утверждение Плана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туристской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в МО</w:t>
            </w:r>
          </w:p>
        </w:tc>
        <w:tc>
          <w:tcPr>
            <w:tcW w:w="1474" w:type="dxa"/>
            <w:gridSpan w:val="2"/>
          </w:tcPr>
          <w:p w:rsidR="002D374D" w:rsidRPr="005366A4" w:rsidRDefault="002D374D" w:rsidP="00CB2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туристической деятельности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МО «Красногорский район»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МО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работы, отдел культуры, спорта и молодежной политики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458" w:type="dxa"/>
            <w:gridSpan w:val="2"/>
          </w:tcPr>
          <w:p w:rsidR="002D374D" w:rsidRPr="005366A4" w:rsidRDefault="002D374D" w:rsidP="00CB2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туристических организаций в региональных туристических выставках, ярмарках, презентациях по продвижению туристских продуктов, расположенных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МО</w:t>
            </w:r>
          </w:p>
        </w:tc>
        <w:tc>
          <w:tcPr>
            <w:tcW w:w="1474" w:type="dxa"/>
            <w:gridSpan w:val="2"/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2022 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Позиционирование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по развитию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инфраструктуры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План выставок на официальном сайте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планово-экономической работы, отдел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и проведение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руглых столов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проблем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витии туризма в МО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 путей их решения</w:t>
            </w:r>
          </w:p>
        </w:tc>
        <w:tc>
          <w:tcPr>
            <w:tcW w:w="1474" w:type="dxa"/>
            <w:gridSpan w:val="2"/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Выявление проблем развития и наличия административных барьеров в сфере туристической деятельности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ротоколы проведенных семинаров, совещаний, круглых столов и иных мероприятий на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«Красногорский район»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организации и проведения событийных туристических мероприятий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Увеличение потребителей туристических услуг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План событийных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на официальном сайте МО «Красногорский район»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планово-экономической работы, Отдел культуры,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 туристических проектах и объектах туризма вне зависимости от их форм собственности на сайте туристско-информационного центра "Удмуртия"</w:t>
            </w:r>
          </w:p>
        </w:tc>
        <w:tc>
          <w:tcPr>
            <w:tcW w:w="1474" w:type="dxa"/>
            <w:gridSpan w:val="2"/>
          </w:tcPr>
          <w:p w:rsidR="002D374D" w:rsidRPr="005366A4" w:rsidRDefault="003D384F" w:rsidP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туристических мероприятиях и объектах в Удмуртской Республике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туристско-информационного центра "Удмуртия"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туристско-информационный центр "Удмуртия" (по согласованию)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актуализация Туристического паспорта МО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384F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информационной базы данных о состоянии туристских ресурсов региона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МО «Красногорский район»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работы, Отдел культуры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административных барьеров и оценки состояния конкурентной среды на рынке туристических услуг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планирования деятельности и мероприятий по содействию развитию конкуренции на рынке туристических услуг</w:t>
            </w:r>
          </w:p>
        </w:tc>
        <w:tc>
          <w:tcPr>
            <w:tcW w:w="2552" w:type="dxa"/>
          </w:tcPr>
          <w:p w:rsidR="002D374D" w:rsidRPr="005366A4" w:rsidRDefault="002D374D" w:rsidP="0054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nil"/>
            </w:tcBorders>
          </w:tcPr>
          <w:p w:rsidR="002D374D" w:rsidRPr="005366A4" w:rsidRDefault="00E014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Рынок поставки сжиженного газа в баллонах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870E34" w:rsidRDefault="00870E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Красногорском районе только около 20 процентов жителей подключены к системе снабжения природным газом. Сжиженный газ в баллонах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пищеприготовления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нагрева воды  получают жители, не имеющие природного газа и не использующие для д</w:t>
            </w:r>
            <w:r w:rsidR="009E61CF">
              <w:rPr>
                <w:rFonts w:ascii="Times New Roman" w:hAnsi="Times New Roman" w:cs="Times New Roman"/>
                <w:sz w:val="24"/>
                <w:szCs w:val="24"/>
              </w:rPr>
              <w:t>анных целей электрические плиты – порядка 3280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1CF">
              <w:rPr>
                <w:rFonts w:ascii="Times New Roman" w:hAnsi="Times New Roman" w:cs="Times New Roman"/>
                <w:sz w:val="24"/>
                <w:szCs w:val="24"/>
              </w:rPr>
              <w:t xml:space="preserve"> Снабжение сжиженным газом в баллонах осуществляется постав</w:t>
            </w:r>
            <w:r w:rsidR="00AE6317">
              <w:rPr>
                <w:rFonts w:ascii="Times New Roman" w:hAnsi="Times New Roman" w:cs="Times New Roman"/>
                <w:sz w:val="24"/>
                <w:szCs w:val="24"/>
              </w:rPr>
              <w:t>щиком Кировской области. Местных поставщиков на рынке нет.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Показателями эффективности мероприятий и развития конкуренции н</w:t>
            </w:r>
            <w:r w:rsidR="00E01462">
              <w:rPr>
                <w:rFonts w:ascii="Times New Roman" w:hAnsi="Times New Roman" w:cs="Times New Roman"/>
                <w:sz w:val="24"/>
                <w:szCs w:val="24"/>
              </w:rPr>
              <w:t>а рынке являются повышение конкуренции на рынке</w:t>
            </w:r>
            <w:r w:rsidR="00870E34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сжиженного газа в баллонах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0EF" w:rsidRPr="005366A4" w:rsidTr="005366A4">
        <w:tc>
          <w:tcPr>
            <w:tcW w:w="794" w:type="dxa"/>
            <w:gridSpan w:val="2"/>
          </w:tcPr>
          <w:p w:rsidR="004D20EF" w:rsidRDefault="00C87A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458" w:type="dxa"/>
            <w:gridSpan w:val="2"/>
          </w:tcPr>
          <w:p w:rsidR="004D20EF" w:rsidRPr="005366A4" w:rsidRDefault="0066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заниматься данным видом деятельности на сайте МО «Красногорский район»</w:t>
            </w:r>
          </w:p>
        </w:tc>
        <w:tc>
          <w:tcPr>
            <w:tcW w:w="1474" w:type="dxa"/>
            <w:gridSpan w:val="2"/>
          </w:tcPr>
          <w:p w:rsidR="004D20EF" w:rsidRPr="005366A4" w:rsidRDefault="0066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4684" w:type="dxa"/>
            <w:gridSpan w:val="2"/>
          </w:tcPr>
          <w:p w:rsidR="004D20EF" w:rsidRPr="005366A4" w:rsidRDefault="0066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конкуренции на рынке поставки сжиженного газа в баллонах</w:t>
            </w:r>
          </w:p>
        </w:tc>
        <w:tc>
          <w:tcPr>
            <w:tcW w:w="2552" w:type="dxa"/>
          </w:tcPr>
          <w:p w:rsidR="004D20EF" w:rsidRPr="005366A4" w:rsidRDefault="00C87A49" w:rsidP="0054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МО «Красногорский район»</w:t>
            </w:r>
          </w:p>
        </w:tc>
        <w:tc>
          <w:tcPr>
            <w:tcW w:w="1701" w:type="dxa"/>
            <w:gridSpan w:val="2"/>
          </w:tcPr>
          <w:p w:rsidR="004D20EF" w:rsidRDefault="00C87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C87A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административных барьеров и оценки состояния конкурентной сре</w:t>
            </w:r>
            <w:r w:rsidR="00AE6317">
              <w:rPr>
                <w:rFonts w:ascii="Times New Roman" w:hAnsi="Times New Roman" w:cs="Times New Roman"/>
                <w:sz w:val="24"/>
                <w:szCs w:val="24"/>
              </w:rPr>
              <w:t>ды на рынке поставки сжиженного газа в баллонах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для планирования деятельности </w:t>
            </w:r>
            <w:r w:rsidR="00AE6317">
              <w:rPr>
                <w:rFonts w:ascii="Times New Roman" w:hAnsi="Times New Roman" w:cs="Times New Roman"/>
                <w:sz w:val="24"/>
                <w:szCs w:val="24"/>
              </w:rPr>
              <w:t>и мероприятий по содействию развитию конкуренции</w:t>
            </w:r>
          </w:p>
        </w:tc>
        <w:tc>
          <w:tcPr>
            <w:tcW w:w="2552" w:type="dxa"/>
          </w:tcPr>
          <w:p w:rsidR="002D374D" w:rsidRPr="005366A4" w:rsidRDefault="002D374D" w:rsidP="0054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</w:p>
        </w:tc>
        <w:tc>
          <w:tcPr>
            <w:tcW w:w="1701" w:type="dxa"/>
            <w:gridSpan w:val="2"/>
          </w:tcPr>
          <w:p w:rsidR="002D374D" w:rsidRPr="005366A4" w:rsidRDefault="00AE6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Рынок дорожной деятельности (за исключением проектирования)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ключевых задач в МО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строительства. Протяженность автомобильных дорог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 составляет 475,4 км, в том числе  местного значения, - 216 км, из них дороги с асфальтовым покрытием – 97,2 км-20,4% из которых местного значения – 34,2 км (15,8%)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77,18% дорог общего пользования местного значения не соответствуют нормативным требованиям.  Имеются населенные пункты с непроезжими участками автомобильных дорог.  </w:t>
            </w:r>
          </w:p>
          <w:p w:rsidR="002D374D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дорого общего пользования местного значения в 2018 году использовано 3,6 млн. руб. На содержание 17 (20 с 1 сентября) школьных маршрутов протяженностью 26 км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35,35)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израсходовано 2,67 млн. руб. В 2018 году капитально отремонтировано 3,5 км улиц на сумму 4,46 млн. руб. Текущий ремонт 23-х проезжей части улиц составил 3,6 км.  Проведены работы по реконструкции 2-х участков дорог общего пользования (2,35 км автодороги Красногорское – Елово (29,3 млн. руб.) и 4,9 км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(62,68 млн. руб.).</w:t>
            </w:r>
          </w:p>
          <w:p w:rsidR="002D374D" w:rsidRDefault="002D374D" w:rsidP="009E4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федеральной целевой </w:t>
            </w:r>
            <w:hyperlink r:id="rId16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на 2014 - 2017 годы и на период до 2020 года" будет продолжена работа по строительству сельских автомобильных дорог.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4D" w:rsidRPr="005366A4" w:rsidRDefault="002D374D" w:rsidP="009E4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развитию конкуренции позволит снижать количество нарушений антимонопольного законодательства, сократить долю закупок, признанных несостоявшимися, не менее чем на 5 процентов ежегодно от уровня 2017 года, что соответствует задачам, поставленным для дорожной отрасли Национальным планом развития конкуренции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закупками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хозяйства, сокращение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заключения договоров с единственным поставщиком</w:t>
            </w:r>
          </w:p>
        </w:tc>
        <w:tc>
          <w:tcPr>
            <w:tcW w:w="1474" w:type="dxa"/>
            <w:gridSpan w:val="2"/>
          </w:tcPr>
          <w:p w:rsidR="002D374D" w:rsidRPr="005366A4" w:rsidRDefault="004D2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684" w:type="dxa"/>
            <w:gridSpan w:val="2"/>
          </w:tcPr>
          <w:p w:rsidR="002D374D" w:rsidRPr="005366A4" w:rsidRDefault="0066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D20EF">
              <w:rPr>
                <w:rFonts w:ascii="Times New Roman" w:hAnsi="Times New Roman" w:cs="Times New Roman"/>
                <w:sz w:val="24"/>
                <w:szCs w:val="24"/>
              </w:rPr>
              <w:t>ополнительное размещение информации о проводимых закупках на сайте МО «Красногорский район» в разделе «Закупки и продажи»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данные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работы, Отдел строительства и ЖКХ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458" w:type="dxa"/>
            <w:gridSpan w:val="2"/>
          </w:tcPr>
          <w:p w:rsidR="002D374D" w:rsidRPr="005366A4" w:rsidRDefault="002D374D" w:rsidP="00D0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дорожного ремонта </w:t>
            </w:r>
          </w:p>
        </w:tc>
        <w:tc>
          <w:tcPr>
            <w:tcW w:w="1474" w:type="dxa"/>
            <w:gridSpan w:val="2"/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2022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684" w:type="dxa"/>
            <w:gridSpan w:val="2"/>
          </w:tcPr>
          <w:p w:rsidR="002D374D" w:rsidRPr="005366A4" w:rsidRDefault="002D374D" w:rsidP="00D015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инвестиций в развитие инфраструктуры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дорожного ремонта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административных барьеров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состояния конкурентной среды на рынках дорожного хозяйства и придорожного сервиса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планирования деятельности и мероприятий по содействию развитию конкуренции на рынках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доведенной квоты в Минэкономики УР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планово-экономической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Рынок бытовы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услуг населению</w:t>
            </w:r>
            <w:r w:rsidR="009C5135">
              <w:rPr>
                <w:rFonts w:ascii="Times New Roman" w:hAnsi="Times New Roman" w:cs="Times New Roman"/>
                <w:sz w:val="24"/>
                <w:szCs w:val="24"/>
              </w:rPr>
              <w:t>, в т. ч по ремонту автотранспортных средств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2018 года в сфере бытового обслуживания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 деятельность 14 организаций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борот организаций составил 3 млн. руб.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Доля бытовых услуг в общем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платных услуг составляет 6,8 %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бытовых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 жителям района, неоднородна, - 32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% приходится на техническое обслуживание и 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 автотранспортных средств, 32,0% - услуги парикмахерских, 12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% - услуги по ремонту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строительству жилья, 13% - фотоуслуги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5,4% - ремонт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ытовой техники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74D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предпринимательства в общем объеме предоставляемых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ытовых услуг составляет более 87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бытового обслуживания населения располагаются только в районном центре.  Выездное обслуживание населения отсутствует. Причина в дорогих транспортных услугах и низком покупательском спросе населения ввиду небольшой численности и низких доходов проживающего населения.  </w:t>
            </w:r>
          </w:p>
          <w:p w:rsidR="002D374D" w:rsidRDefault="002D374D" w:rsidP="008F6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Для организаций, оказывающих бытовые услуги, проблемными вопросами остаются устаревшее оборудование, высокая зависимость от спроса на услуги и сезонности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низкие доходы населения,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недобросовестная конкуренция (услуги оказывают частные лица, не зарегистрированные в установленном порядке и, соответственно, не уплачивающие налоги). </w:t>
            </w:r>
          </w:p>
          <w:p w:rsidR="002D374D" w:rsidRPr="005366A4" w:rsidRDefault="002D374D" w:rsidP="008F6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Показателями эффективности мероприятий и развития конкуренции являются увеличение количества организаций, оказы</w:t>
            </w:r>
            <w:r w:rsidR="009C5135">
              <w:rPr>
                <w:rFonts w:ascii="Times New Roman" w:hAnsi="Times New Roman" w:cs="Times New Roman"/>
                <w:sz w:val="24"/>
                <w:szCs w:val="24"/>
              </w:rPr>
              <w:t>вающих бытовые услуги, в т. ч. по ремонту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 в сфере оказания бытовых услуг.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Пропаганда патентной системы налогообложения при оказании услуг в сфере бытового обслуживания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добросовестной конкуренции среди участников рынка бытовых услуг</w:t>
            </w:r>
          </w:p>
        </w:tc>
        <w:tc>
          <w:tcPr>
            <w:tcW w:w="2552" w:type="dxa"/>
          </w:tcPr>
          <w:p w:rsidR="002D374D" w:rsidRPr="005366A4" w:rsidRDefault="004546EB" w:rsidP="002D7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поздравлений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бытового обслуживания населения; публикация закона о патентной системе налогообложения на сайте района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планово-экономической работы,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9C5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и ежегодная актуализация реестров организаций, оказывающих бытовые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на территориях МО</w:t>
            </w:r>
          </w:p>
        </w:tc>
        <w:tc>
          <w:tcPr>
            <w:tcW w:w="1474" w:type="dxa"/>
            <w:gridSpan w:val="2"/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и обеспечение равных условий доступа к информации о рынке бытовых услуг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Реестр организаций,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бытовые услуги, на официальном сайте МО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 w:rsidP="009C5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 w:rsidR="009C5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административных барьеров и оценки состояния конкурентной среды на рынке бытовых услуг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планирования деятельности и мероприятий по содействию развитию конкуренции на рынке бытовых услуг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21. Рынок транспортных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рынок услуг перевозки пассажиров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января 2019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осуществляют деятельность в сфере наземного (автомобильного) транспорта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индивидуальных предпринимателей, в т. ч. по перевозке пассажиров 1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объема перевозок по данной категории перевозчиков отсутствует.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овные проблемы, влияющие на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рынка грузовых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перевозок, - низкое обновление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парка автомобилей, рост себестоимости перевозок (в том числе за счет роста цен на все виды топлива), слабое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эффективных перевозочных и логистических схем, нерациональность использования парка подвижного состава по категории и вместимости, высокая степень износа дорожно-транспортной инфраструктуры.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Показателями эффективности мероприятий и развития конкуренции на рынке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услуг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величение числа ИП с данным видом деятельности.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 для содействия конкуренции в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сфере грузовых и пассажи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рских перевозок 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Развитие добросовестной конкуренции среди транспортных организаций; снижение количества нелегальных перевозчиков, нерентабельных или низкорентабельных предприятий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МО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ЖКХ,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 w:rsidP="002D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административных барьеров и оценки состояния конкурентной среды на рынках транспортных услуг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планирования деятельности и мероприятий по содействию развитию конкуренции на рынке услуг грузоперевозок</w:t>
            </w:r>
          </w:p>
        </w:tc>
        <w:tc>
          <w:tcPr>
            <w:tcW w:w="2552" w:type="dxa"/>
          </w:tcPr>
          <w:p w:rsidR="002D374D" w:rsidRPr="005366A4" w:rsidRDefault="002D374D" w:rsidP="00454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и ЖКХ,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22. Рынок</w:t>
            </w:r>
            <w:r w:rsidR="008E3E2C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отраслей, включая рынки добычи общераспространенных полезных ископаемых на у</w:t>
            </w:r>
            <w:r w:rsidR="004546EB">
              <w:rPr>
                <w:rFonts w:ascii="Times New Roman" w:hAnsi="Times New Roman" w:cs="Times New Roman"/>
                <w:sz w:val="24"/>
                <w:szCs w:val="24"/>
              </w:rPr>
              <w:t>частках недр местного 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древесины и производства изделий из дерева</w:t>
            </w:r>
            <w:r w:rsidR="009D6DAA">
              <w:rPr>
                <w:rFonts w:ascii="Times New Roman" w:hAnsi="Times New Roman" w:cs="Times New Roman"/>
                <w:sz w:val="24"/>
                <w:szCs w:val="24"/>
              </w:rPr>
              <w:t>, легкой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AA1DCA" w:rsidRDefault="002D374D" w:rsidP="00722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AC77CE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 района действует Красногорский участок </w:t>
            </w:r>
            <w:proofErr w:type="spellStart"/>
            <w:r w:rsidR="00AC77C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9C5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7CE">
              <w:rPr>
                <w:rFonts w:ascii="Times New Roman" w:hAnsi="Times New Roman" w:cs="Times New Roman"/>
                <w:sz w:val="24"/>
                <w:szCs w:val="24"/>
              </w:rPr>
              <w:t>зовского</w:t>
            </w:r>
            <w:proofErr w:type="spellEnd"/>
            <w:r w:rsidR="00AC77C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АУ УР «</w:t>
            </w:r>
            <w:proofErr w:type="spellStart"/>
            <w:r w:rsidR="00AC77CE">
              <w:rPr>
                <w:rFonts w:ascii="Times New Roman" w:hAnsi="Times New Roman" w:cs="Times New Roman"/>
                <w:sz w:val="24"/>
                <w:szCs w:val="24"/>
              </w:rPr>
              <w:t>Удмуртлес</w:t>
            </w:r>
            <w:proofErr w:type="spellEnd"/>
            <w:r w:rsidR="00AC77CE">
              <w:rPr>
                <w:rFonts w:ascii="Times New Roman" w:hAnsi="Times New Roman" w:cs="Times New Roman"/>
                <w:sz w:val="24"/>
                <w:szCs w:val="24"/>
              </w:rPr>
              <w:t>», несколько предпринимателей, занимающихся заготовкой и переработкой древесины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6DAA">
              <w:rPr>
                <w:rFonts w:ascii="Times New Roman" w:hAnsi="Times New Roman" w:cs="Times New Roman"/>
                <w:sz w:val="24"/>
                <w:szCs w:val="24"/>
              </w:rPr>
              <w:t>За последние</w:t>
            </w:r>
            <w:r w:rsidR="004546EB">
              <w:rPr>
                <w:rFonts w:ascii="Times New Roman" w:hAnsi="Times New Roman" w:cs="Times New Roman"/>
                <w:sz w:val="24"/>
                <w:szCs w:val="24"/>
              </w:rPr>
              <w:t xml:space="preserve">  4  года</w:t>
            </w:r>
            <w:r w:rsidR="009D6DAA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занятых в данной сфере резко сократилась (более чем на 120 человек), закрыты ООО «</w:t>
            </w:r>
            <w:proofErr w:type="spellStart"/>
            <w:r w:rsidR="009D6DAA">
              <w:rPr>
                <w:rFonts w:ascii="Times New Roman" w:hAnsi="Times New Roman" w:cs="Times New Roman"/>
                <w:sz w:val="24"/>
                <w:szCs w:val="24"/>
              </w:rPr>
              <w:t>Валамазские</w:t>
            </w:r>
            <w:proofErr w:type="spellEnd"/>
            <w:r w:rsidR="009D6DAA">
              <w:rPr>
                <w:rFonts w:ascii="Times New Roman" w:hAnsi="Times New Roman" w:cs="Times New Roman"/>
                <w:sz w:val="24"/>
                <w:szCs w:val="24"/>
              </w:rPr>
              <w:t xml:space="preserve"> лыжи», ООО «Темп», ООО «</w:t>
            </w:r>
            <w:proofErr w:type="spellStart"/>
            <w:r w:rsidR="009D6DAA">
              <w:rPr>
                <w:rFonts w:ascii="Times New Roman" w:hAnsi="Times New Roman" w:cs="Times New Roman"/>
                <w:sz w:val="24"/>
                <w:szCs w:val="24"/>
              </w:rPr>
              <w:t>Лесмаркет</w:t>
            </w:r>
            <w:proofErr w:type="spellEnd"/>
            <w:r w:rsidR="009D6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5135">
              <w:rPr>
                <w:rFonts w:ascii="Times New Roman" w:hAnsi="Times New Roman" w:cs="Times New Roman"/>
                <w:sz w:val="24"/>
                <w:szCs w:val="24"/>
              </w:rPr>
              <w:t>, несколько ИП</w:t>
            </w:r>
            <w:r w:rsidR="009D6DAA">
              <w:rPr>
                <w:rFonts w:ascii="Times New Roman" w:hAnsi="Times New Roman" w:cs="Times New Roman"/>
                <w:sz w:val="24"/>
                <w:szCs w:val="24"/>
              </w:rPr>
              <w:t xml:space="preserve">  виду изменений порядка отведения лесных делянок, сложности получения лесных участков в аренду (залог, проведение лесохозяйственных мероприятий, арендная плата</w:t>
            </w:r>
            <w:r w:rsidR="009C5135">
              <w:rPr>
                <w:rFonts w:ascii="Times New Roman" w:hAnsi="Times New Roman" w:cs="Times New Roman"/>
                <w:sz w:val="24"/>
                <w:szCs w:val="24"/>
              </w:rPr>
              <w:t>, необходимость лесоустройства</w:t>
            </w:r>
            <w:r w:rsidR="009D6DAA">
              <w:rPr>
                <w:rFonts w:ascii="Times New Roman" w:hAnsi="Times New Roman" w:cs="Times New Roman"/>
                <w:sz w:val="24"/>
                <w:szCs w:val="24"/>
              </w:rPr>
              <w:t>), высокой стоимости лесосечного фонда по субаренде</w:t>
            </w:r>
            <w:r w:rsidR="009C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D374D" w:rsidRDefault="00AC77CE" w:rsidP="00722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АУ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Удмуртлес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арендуют лесосечный фонд района</w:t>
            </w:r>
            <w:r w:rsidR="00B528AE">
              <w:rPr>
                <w:rFonts w:ascii="Times New Roman" w:hAnsi="Times New Roman" w:cs="Times New Roman"/>
                <w:sz w:val="24"/>
                <w:szCs w:val="24"/>
              </w:rPr>
              <w:t xml:space="preserve"> ООО «Леспромхоз </w:t>
            </w:r>
            <w:proofErr w:type="spellStart"/>
            <w:r w:rsidR="00B528AE">
              <w:rPr>
                <w:rFonts w:ascii="Times New Roman" w:hAnsi="Times New Roman" w:cs="Times New Roman"/>
                <w:sz w:val="24"/>
                <w:szCs w:val="24"/>
              </w:rPr>
              <w:t>Лынгинский</w:t>
            </w:r>
            <w:proofErr w:type="spellEnd"/>
            <w:r w:rsidR="00B52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B528A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B528AE">
              <w:rPr>
                <w:rFonts w:ascii="Times New Roman" w:hAnsi="Times New Roman" w:cs="Times New Roman"/>
                <w:sz w:val="24"/>
                <w:szCs w:val="24"/>
              </w:rPr>
              <w:t>ОО «Магнат», ООО «</w:t>
            </w:r>
            <w:proofErr w:type="spellStart"/>
            <w:r w:rsidR="00B528AE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="00B52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DCA">
              <w:rPr>
                <w:rFonts w:ascii="Times New Roman" w:hAnsi="Times New Roman" w:cs="Times New Roman"/>
                <w:sz w:val="24"/>
                <w:szCs w:val="24"/>
              </w:rPr>
              <w:t>, вся древесина по данным предприятиям в необработанном виде вывозится за пределы района</w:t>
            </w:r>
            <w:r w:rsidR="00B52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E2C" w:rsidRDefault="008E3E2C" w:rsidP="00722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представлена одним ИП, занимающимся пошивом постельных принадлежностей. Организаций по добыче общераспространенных полезных ископаемых нет.</w:t>
            </w:r>
          </w:p>
          <w:p w:rsidR="002D374D" w:rsidRPr="005366A4" w:rsidRDefault="002D374D" w:rsidP="00722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Показателем эффективности мероприятий и развития конкуренции я</w:t>
            </w:r>
            <w:r w:rsidR="00AC77CE">
              <w:rPr>
                <w:rFonts w:ascii="Times New Roman" w:hAnsi="Times New Roman" w:cs="Times New Roman"/>
                <w:sz w:val="24"/>
                <w:szCs w:val="24"/>
              </w:rPr>
              <w:t>вляется увеличение</w:t>
            </w:r>
            <w:r w:rsidR="008E3E2C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производства в данной сфере и в частности</w:t>
            </w:r>
            <w:r w:rsidR="00AC77CE">
              <w:rPr>
                <w:rFonts w:ascii="Times New Roman" w:hAnsi="Times New Roman" w:cs="Times New Roman"/>
                <w:sz w:val="24"/>
                <w:szCs w:val="24"/>
              </w:rPr>
              <w:t xml:space="preserve">  продукции обработки древесины и производства изделий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C9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</w:t>
            </w:r>
          </w:p>
        </w:tc>
        <w:tc>
          <w:tcPr>
            <w:tcW w:w="3458" w:type="dxa"/>
            <w:gridSpan w:val="2"/>
          </w:tcPr>
          <w:p w:rsidR="002D374D" w:rsidRPr="005366A4" w:rsidRDefault="00C9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 xml:space="preserve"> по имеющимся мерам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для повышения доступности кредит</w:t>
            </w:r>
            <w:r w:rsidR="00D6112D">
              <w:rPr>
                <w:rFonts w:ascii="Times New Roman" w:hAnsi="Times New Roman" w:cs="Times New Roman"/>
                <w:sz w:val="24"/>
                <w:szCs w:val="24"/>
              </w:rPr>
              <w:t>ов и займов для организаций бизнеса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84" w:type="dxa"/>
            <w:gridSpan w:val="2"/>
          </w:tcPr>
          <w:p w:rsidR="002D374D" w:rsidRPr="005366A4" w:rsidRDefault="00C9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добросовестной конкуренции</w:t>
            </w:r>
            <w:r w:rsidR="00D611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рынке</w:t>
            </w:r>
            <w:r w:rsidR="00D6112D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обрабатывающей промышленности</w:t>
            </w:r>
          </w:p>
        </w:tc>
        <w:tc>
          <w:tcPr>
            <w:tcW w:w="2552" w:type="dxa"/>
          </w:tcPr>
          <w:p w:rsidR="002D374D" w:rsidRPr="005366A4" w:rsidRDefault="00C9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МО «Красногорский район»</w:t>
            </w:r>
          </w:p>
        </w:tc>
        <w:tc>
          <w:tcPr>
            <w:tcW w:w="1701" w:type="dxa"/>
            <w:gridSpan w:val="2"/>
          </w:tcPr>
          <w:p w:rsidR="002D374D" w:rsidRPr="005366A4" w:rsidRDefault="00C9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Default="00C92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3458" w:type="dxa"/>
            <w:gridSpan w:val="2"/>
          </w:tcPr>
          <w:p w:rsidR="002D374D" w:rsidRPr="005366A4" w:rsidRDefault="00C92F7B" w:rsidP="00722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административных барьеров и оценки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конкурентной среды на рынке обработки древесины и производства изделий из дерева</w:t>
            </w:r>
          </w:p>
        </w:tc>
        <w:tc>
          <w:tcPr>
            <w:tcW w:w="1474" w:type="dxa"/>
            <w:gridSpan w:val="2"/>
          </w:tcPr>
          <w:p w:rsidR="002D374D" w:rsidRDefault="00C9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D384F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2D374D" w:rsidRPr="005366A4" w:rsidRDefault="00C9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планирования деятельности и мероприятий по содействию развитию конкуренции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древесины и производства изделий из дерева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01" w:type="dxa"/>
            <w:gridSpan w:val="2"/>
          </w:tcPr>
          <w:p w:rsidR="002D374D" w:rsidRDefault="00C92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blPrEx>
          <w:tblBorders>
            <w:left w:val="nil"/>
            <w:right w:val="nil"/>
          </w:tblBorders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2D374D" w:rsidRPr="005366A4" w:rsidRDefault="002D37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Раздел II. МЕРОПРИЯТИЯ ПО РЕАЛИЗАЦИИ СИСТЕМНЫХ МЕР ПО РАЗВИТИЮ КОНКУРЕНТН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СРЕДЫ В МУНИЦИПАЛЬНОМ ОБРАЗОВАНИИ «КРАСНОГОРСКИЙ РАЙОН»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1. Оптими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процедур  муниципальных закупок 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Заказчики,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сируемые из муниципальных бюджетов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обязаны осуществлять закупочную деятельность в соответствии с действующим законодательством.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 в целях полной централизации закупок для нужд заказчиков Удмуртской Республики в рамках Федерального </w:t>
            </w:r>
            <w:hyperlink r:id="rId17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N 44-ФЗ) полномочиями на определение поставщиков (подрядчиков, исполнителей) путем проведения конкурсов и аукционов в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ронной форме наделено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казенное учреждение Удмуртской Республики "Региональный центр закупок Удмуртской Республики", подведомственное Минфину УР.</w:t>
            </w:r>
          </w:p>
          <w:p w:rsidR="002D374D" w:rsidRDefault="002D374D" w:rsidP="00411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Ранее полномочиями на определение поставщиков (подрядчиков, исполнителей) для нужд заказчиков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процедур  была наделена Администрация муниципального образования «Красногорский район» в лице отдела планово-экономической работы.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4D" w:rsidRPr="005366A4" w:rsidRDefault="002D374D" w:rsidP="00411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N 223-ФЗ "О закупках товаров, работ, услуг отдельными видами юридических лиц" (далее - Закон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223-ФЗ) определяет особенности проведения закупок в случаях, если 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зчиком выступает муниципальное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: обязательным условием является планирование таких закупок и отчетность по их результатам по установленным правилам; положение о закупке должно быть утверждено органом, осуществляющим функции и полномочия учредителя бюджетного учреждения</w:t>
            </w:r>
          </w:p>
        </w:tc>
      </w:tr>
      <w:tr w:rsidR="002D374D" w:rsidRPr="005366A4" w:rsidTr="00185A0B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типового положения о закупках в рамках Закона N 223-ФЗ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к осуществлению закупок заказчиками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МО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185A0B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 w:rsidP="00027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о закупке в соответствии с нормами </w:t>
            </w:r>
            <w:hyperlink r:id="rId19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N 223-ФЗ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типового положения о закупках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Оптими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процедур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закупок; развитие конкуренции при осуществлении закупок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D374D" w:rsidRPr="005366A4" w:rsidRDefault="002D374D" w:rsidP="005B2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об утверждении положения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 w:rsidP="005B2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с учетом </w:t>
            </w:r>
            <w:hyperlink r:id="rId20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223-ФЗ, и хозяйствующие субъекты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которых составляет более 50%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2. Развитие конкуренции при осуществлении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закупок для муниципальных нужд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2014 года обеспечение государственных и муниципальных нужд осуществляется в соответствии с </w:t>
            </w:r>
            <w:hyperlink r:id="rId21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N 44-ФЗ. Согласно положениям данного Федерального </w:t>
            </w:r>
            <w:hyperlink r:id="rId22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должно составлять не менее 2.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"среднее число участников конкурентных процедур определения поставщиков (подрядчиков, исполнителей) при 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нужд" формируется под влиянием большого количества объективных и субъективных факторов, в том числе особенностей рынка конкретного товара (работы, услуги), сложившегося уровня конкуренции, описания объекта закупки, фактически сложившихся экономических связей, особенностей заказчика, уровня информированности поставщиков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дрядчиков, исполнителей).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2019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 достижение данного показателя в среднем не менее 3 участников конкурентных процедур определения поставщиков (подрядчиков, исполнителей) при осуществлении закупок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обеспечения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2018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 объем закупок главными распоряд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 средств местного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 субъектов малого предпринимательства, социально ориентированных некоммер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организаций составил 32,75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% от совокупного годового объема закупок товаров, работ и услуг.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Удмуртского УФАС России значение показателя "доля закупок у субъектов малого и среднего предпринимательства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предпринимательства) в общем годовом стоимостном объеме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закупок, осуществляемых в соответствии с </w:t>
            </w:r>
            <w:hyperlink r:id="rId23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 менее 18%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74D" w:rsidRPr="005366A4" w:rsidTr="00D9503E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 w:rsidP="00D95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у субъектов малого предпринимательства, социально ориентированных некоммерческих организаций путем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конкурентных закупок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конкурентных процедур определения поставщиков (подрядчиков, исполнителей) при осуществлении закупок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обеспечения  муниципальных нужд (к 2019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Отдел планово-экономической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 w:rsidP="00A17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района</w:t>
            </w:r>
          </w:p>
        </w:tc>
      </w:tr>
      <w:tr w:rsidR="002D374D" w:rsidRPr="005366A4" w:rsidTr="00D9503E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объемами закупок у субъектов малого и среднего предпринимательства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установленного показателя доли закупок у субъектов малого и среднего предпринимательства в общем годовом стоимостном объеме закупок, осуществляемых в соответствии с </w:t>
            </w:r>
            <w:hyperlink r:id="rId24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 не менее 18%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осуществляющие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с учетом </w:t>
            </w:r>
            <w:hyperlink r:id="rId25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223-ФЗ, и хозяйствующие субъекты, доля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которых составляет более 50%</w:t>
            </w:r>
          </w:p>
        </w:tc>
      </w:tr>
      <w:tr w:rsidR="002D374D" w:rsidRPr="005366A4" w:rsidTr="00D9503E"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6112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консультаций,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семинаров, круглых столов для субъектов малого и среднего бизнеса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осам участия 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закупках товаров, работ, услуг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подготовки поставщиков (подрядчиков, исполнителей) по вопросам и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дурам проведения муниципальных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Планы обучения,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чающие вопросы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D9503E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Актуализация принятых и издание новых нормативно-прав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актов ОМС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применения норм </w:t>
            </w:r>
            <w:hyperlink r:id="rId26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процедур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планово-экономической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2D374D" w:rsidRPr="005366A4" w:rsidTr="00D9503E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муниципальных учреждений в подсистеме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"Малые закупки"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прозрачности, подконтрольности и подотчетности закупок "малого объема"; расширение географии поставщиков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учреждения и иные организации, осуществляющие закупки с учетом Закона N 44-ФЗ (в части применения)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3. Устранени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избыточного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регулирования; снижение административных барьеров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Default="002D374D" w:rsidP="00136E58">
            <w:pPr>
              <w:pStyle w:val="ConsPlusNormal"/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Главы Удмуртской Республики от 1 октября 2014 года N 257-РГ "Об организации предоставления государственных и муниципальных услуг по принципу "одного окна" в Удмуртской Республике" утверждена </w:t>
            </w:r>
            <w:hyperlink r:id="rId27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схема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 республике многофункциональных центров по предоставлению государственных и муниципальных услуг (далее - МФЦ).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2017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внедрена и применяется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оценки регулирующего воздействия (ОРВ) проектов нормативных правовых актов и экспертизы нормативных правовых актов с целью выявления в них положений, способствующих возникновению необоснованных расходов у субъектов предпринимательской и инвестиционной деятельности и СО НКО. </w:t>
            </w:r>
          </w:p>
          <w:p w:rsidR="002D374D" w:rsidRPr="005366A4" w:rsidRDefault="002D374D" w:rsidP="0013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Показателем эффективности мероприятий является уменьшение доли хозяйствующих субъектов в общем числе опрошенных, считающих, что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стало меньше за истекший год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функционированию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территориально обособле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структурного подразделения (офиса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 МФЦ (далее - ТОСП)</w:t>
            </w:r>
          </w:p>
        </w:tc>
        <w:tc>
          <w:tcPr>
            <w:tcW w:w="1474" w:type="dxa"/>
            <w:gridSpan w:val="2"/>
          </w:tcPr>
          <w:p w:rsidR="002D374D" w:rsidRPr="005366A4" w:rsidRDefault="003D3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территориально обособле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структурного подразделения (офиса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 МФЦ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услуг, оказанных ТОСП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«Красногорский район»,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инэкономики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Анализ и оценка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(надзора) на территории муниципального образования «Красногорский район»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Выявление административных ограничений (барьеров) в предпринимательской деятельности и их устранение;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деятельности структурных подразделений Администрации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уполномоченных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(надзора)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отчет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(надзора)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Экспертиза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актов муниципального образования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 них положений, необоснованно затрудняющих ведение предпринимательской и (или) инвестиционной деятельности, и определения степени достижения цели регулирования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 в соответствии с утвержденным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проведения экспертизы НПА </w:t>
            </w:r>
          </w:p>
        </w:tc>
        <w:tc>
          <w:tcPr>
            <w:tcW w:w="468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плана проведения</w:t>
            </w:r>
            <w:r w:rsidR="00D6112D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НПА</w:t>
            </w:r>
          </w:p>
        </w:tc>
        <w:tc>
          <w:tcPr>
            <w:tcW w:w="2552" w:type="dxa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экспертизы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актов </w:t>
            </w:r>
            <w:r w:rsidR="00D6112D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нормативно-правовых актов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61"/>
            <w:bookmarkEnd w:id="1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процессов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2018 года имелось 1 муниципальное унитарное предприятие и 1 хозяйственное общество, доля участия муниципального образования в котором составляет 100 %. В том числе  МУП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ведет хозяйственной деятельности и находится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стадии ликвидации.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хозяйствующих субъектов, доля участия муниципального образования в которых составляет 50 и более процентов, осуществляющих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на территории района</w:t>
            </w:r>
          </w:p>
        </w:tc>
        <w:tc>
          <w:tcPr>
            <w:tcW w:w="1474" w:type="dxa"/>
            <w:gridSpan w:val="2"/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Реестр хозяйствующих субъектов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хозяйствующих субъектов,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участия МО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составляет 50 и более процентов</w:t>
            </w:r>
          </w:p>
        </w:tc>
        <w:tc>
          <w:tcPr>
            <w:tcW w:w="1474" w:type="dxa"/>
            <w:gridSpan w:val="2"/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аналитической информации для выработки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284"/>
            <w:bookmarkStart w:id="3" w:name="P1300"/>
            <w:bookmarkEnd w:id="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Обеспечение равных условий доступа к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о реализации муниципаль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«Красногорский район»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обеспечения эффективности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сохранности муниципального имущества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осуществлялся контроль за использованием по назначению и сохранностью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муниципального образования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проведения плановых и внеплановых проверок, осмотров состояния объектов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запросов о предоставлении необходимой информации в отношении объектов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включению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муниципального образования «Красногорский район»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Прогнозный план приватизации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муниципального образования «Красногорский район»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муниципального образования «Красногорский район»</w:t>
            </w:r>
          </w:p>
        </w:tc>
        <w:tc>
          <w:tcPr>
            <w:tcW w:w="2552" w:type="dxa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Прогнозный план приватизации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МО «Красногорский район»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имуществом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 имущества муниципального образования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доступе, в том числе на официальном 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муниципального образования «Красногорский район»</w:t>
            </w:r>
          </w:p>
        </w:tc>
        <w:tc>
          <w:tcPr>
            <w:tcW w:w="1474" w:type="dxa"/>
            <w:gridSpan w:val="2"/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2D374D" w:rsidRPr="005366A4" w:rsidRDefault="002D374D" w:rsidP="00300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 реализации муниципального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муниципального образования «Красногорский район»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МО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Российской Федерации для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информации о проведении торгов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(www.torgi.gov.ru)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имуществом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Стимулирование новых предпринимательских инициатив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 w:rsidP="005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1 января 2018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 общее количество малых и средних предприятий (МСП), с учетом индивидуальных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составило 143 ед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Мероприятия по развитию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в соответствии с </w:t>
            </w:r>
            <w:hyperlink r:id="rId28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«Красногорский район» от 17.09 2014 года N 799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государственной программы Удмуртской Республики "Создание условий для устойчивого экономическог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развития муниципального образования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Показателем эффективности мероприятий является увеличение доли хозяйствующих субъектов в общем числе опрошенных, считающих, что состояние конкурентной среды улучшилось за истекший год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D374D" w:rsidRPr="005366A4" w:rsidTr="00870F8E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 (семинары, форумы, конференции и т.п.), в том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для начинающих предпринимателей, лиц, желающих начать свой бизнес, молодежи, направленных на повышение конкурентных возможностей малых и средних предпринимателей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 w:rsidP="005C3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проводимых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 ежегодно не менее 50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предпринимателей, в том числе начинающих, молодежи, а также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начать свой бизнес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проводимых мероприятиях, размещенная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планово-экономической работы</w:t>
            </w:r>
          </w:p>
        </w:tc>
      </w:tr>
      <w:tr w:rsidR="002D374D" w:rsidRPr="005366A4" w:rsidTr="00870F8E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информационно-консультационной поддержки по вопросам ведения предпринимательской деятельности субъектам малого и среднего предпринимательства, в том числе начинающим предпринимателям и лицам, желаю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начать свой бизнес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вляемых бесплатных консультаций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Письмо-ответ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анкет до бизнеса в рамках ежегодного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оценки субъектами предпринимательской деятельности (малый и средний бизнес):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 состояния конкурентной среды;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 наличия административных барьеров;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качества (уровнем доступности, понятности и удобства получения) официальной информации о состоянии конкурентной среды на рынках товаров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  <w:tc>
          <w:tcPr>
            <w:tcW w:w="1474" w:type="dxa"/>
            <w:gridSpan w:val="2"/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опросов субъектов малого и среднего бизнеса в целях подготовки предложений по содействию развитию конкурентной среды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развития конкуренции на рынке строительства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Типовой перечень муниципальных услуг, предоставляемых органами местного самоуправления в Удмуртской Республике, одобрен Республиканской комиссией по проведению административной реформы в Удмуртской Республике, действующей в соответствии с </w:t>
            </w:r>
            <w:hyperlink r:id="rId29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Главы Удмуртской Республики от 10 июля 2014 года N 158-РГ "О снижении административных барьеров и повышении качества и доступности государственных и муниципальных услуг в Удмуртской Республике".</w:t>
            </w:r>
            <w:proofErr w:type="gramEnd"/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Данный перечень, размещенный на официальном сайте Главы и Правительства Удмуртской Республики в разделе "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" (www.udmurt.ru),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следующие муниципальные услуги в сфере архитектуры и строительства: "4.1. Выдача разрешений на строительство объектов капитального строительства на территории муниципального образования", "4.2. Выдача разрешений на ввод в эксплуатацию объектов капитального строительства на территории муниципального образования"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58" w:type="dxa"/>
            <w:gridSpan w:val="2"/>
          </w:tcPr>
          <w:p w:rsidR="002D374D" w:rsidRPr="005366A4" w:rsidRDefault="002D374D" w:rsidP="00577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типовым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регламентам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услуг по выдаче разрешения на строительство и выдаче разрешений на ввод в эксплуатацию объекта капитального строительства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системного и единообразного подхода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уществлению деятельности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для развития конкуренции между хозяйствующими субъектами в отраслях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 строительства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Обеспечение и сохранение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муниципальных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в социальной сфере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участия муниципального образования «Красногорский район» при реализации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в социальной сфере могут быть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: заключение концес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сионных соглашений,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частному партнеру во владение и пользование недвижимого и (или) движимого имущества, находящегося в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муниципального образования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74D" w:rsidRPr="005366A4" w:rsidRDefault="002D374D" w:rsidP="00244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Показателем эффективности мероприятий является расширение практики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механизмов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(в том числе посредством заключения концессионных соглашений) в социальной сфере, включающей расширени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практики передачи объектов муниципального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(в том числе не используемые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назначению) немуниципальным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зациям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с обязательством сохранения целевого использования объекта в социальной сфере</w:t>
            </w:r>
          </w:p>
        </w:tc>
      </w:tr>
      <w:tr w:rsidR="002D374D" w:rsidRPr="005366A4" w:rsidTr="00040625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ормирование перечня объектов, в отношении которых планируется заключение концессионных соглашений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доступности и уровня информированности субъектов хозяйственной деятельности о планируемых к передаче в пользование объектах недвижимого имущества,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аходящихся 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с сохранением их целевого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на условиях концессии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объектов, в отношении которых планируется заключение концессионных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соглашений, размещенный на сайте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«Красногорский район»</w:t>
            </w:r>
          </w:p>
        </w:tc>
      </w:tr>
      <w:tr w:rsidR="002D374D" w:rsidRPr="005366A4" w:rsidTr="00040625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передаче муниципальных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имущества, включая не используемые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назначению, немуниципальным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с применением механизмов государственно-частного партнерства, с обязательством сохранения целевого назначения и использования объекта недвижимого имущества в сферах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социального обслуживания, детского отдыха и оздоровления</w:t>
            </w:r>
            <w:proofErr w:type="gramEnd"/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в социальной сфере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оглашения, заключенные в рамках проектов о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о-частном партнерстве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работы, сектор по имущественным вопросам, Отдел образования, отдел культуры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Содействие развитию практики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механизмов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в социальной сфере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 w:rsidP="002E0C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(МЧП) в муниципальном образовании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осуществлялось ввиду отсутствия партнеров для осуществления проекта.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Показателем эффективности мероприятий является расширение практики применения механизмов ГЧП, в том числе посредством заключения концессионных соглашений в социальной сфере</w:t>
            </w:r>
          </w:p>
        </w:tc>
      </w:tr>
      <w:tr w:rsidR="002D374D" w:rsidRPr="005366A4" w:rsidTr="002E0C9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Подготовка кадров и повышение квалификации специалистов в сфере ГЧП (организация проведения курсов повышения квалификации, семинаров и иных образовательных мероприятий)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6484">
              <w:rPr>
                <w:rFonts w:ascii="Times New Roman" w:hAnsi="Times New Roman" w:cs="Times New Roman"/>
                <w:sz w:val="24"/>
                <w:szCs w:val="24"/>
              </w:rPr>
              <w:t>19 - 2022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представителей ОМС в области МЧП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прохождение специалистами образовательных программ и мероприятий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«Красногорский район»</w:t>
            </w:r>
          </w:p>
        </w:tc>
      </w:tr>
      <w:tr w:rsidR="002D374D" w:rsidRPr="005366A4" w:rsidTr="002E0C9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отбора инвестиционных проектов,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к реализации на принципах ГЧП в социальной сфере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тии МО «Красногорский район»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частном партнерстве при реализации инвестиционных проектов в социальной сфере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«Красногорский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«Красногорский район»</w:t>
            </w:r>
          </w:p>
        </w:tc>
      </w:tr>
      <w:tr w:rsidR="002D374D" w:rsidRPr="005366A4" w:rsidTr="002E0C9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реестров соглашений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нением механизмов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в том числе посредством заключения концессионных соглашений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-частно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партнерстве размещенный на сайте МО «Красногорский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«Красногорский район»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2018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Красногорского района было зарегистрировано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целью информирования населения о деятельности социально ориентированных некоммерческих организаций (СО НКО) и повышения открытости их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 муниципального образования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информационный банк данных методических пособий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негосударственного сектора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НКО включены в муниципальную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социально ориентированных некоммерческих организаций, осуществляющих деятельность на территории муниципального образования «Красногорский район» на 2018-2024 годы».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услуг в социальной сфере (по формам обслуживания и видам услуг),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оставщиками которых могут являться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негосударственные социально ориентированные некоммерческие организации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сектора СО НКО; информированность населения о деятельности СО НКО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официальных сайтах отдела образования и отдела культуры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«Красногорский район», отдел образования, отдел культуры</w:t>
            </w:r>
          </w:p>
        </w:tc>
      </w:tr>
      <w:tr w:rsidR="002D374D" w:rsidRPr="005366A4" w:rsidTr="00D248BF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 w:rsidP="00EE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негосударствен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(немуниципальных) СО НКО</w:t>
            </w:r>
            <w:proofErr w:type="gramEnd"/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2D374D" w:rsidRPr="005366A4" w:rsidRDefault="00AB6484" w:rsidP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D374D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организаций; достижение значения установленного показателя эффективности мероприятий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 w:rsidP="00897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работы, отдел образования, отдел культуры</w:t>
            </w:r>
          </w:p>
        </w:tc>
      </w:tr>
      <w:tr w:rsidR="002D374D" w:rsidRPr="005366A4" w:rsidTr="00D248BF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МО «Красногорский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актуализация информации о принимаемых правовых актах в отношении негосударственных СО НКО (в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услуг,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формах оказываемой поддержки и др.), методических материалов, информации о лучших практиках НКО, аналитических материалов, в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по результатам анализа экономических, социальных и иных показателей деятельности СО НКО</w:t>
            </w:r>
            <w:proofErr w:type="gramEnd"/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Прозрачность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органов местного самоуправления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открытости и доступности информации для потребителей и поставщиков социальных услуг, в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негосударственных СО НКО;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привлечение негосударственных СО НКО к оказанию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«Красногорский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планово-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работы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 реализация механизмов общественного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</w:t>
            </w:r>
          </w:p>
        </w:tc>
      </w:tr>
      <w:tr w:rsidR="002D374D" w:rsidRPr="005366A4" w:rsidTr="00677540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single" w:sz="4" w:space="0" w:color="auto"/>
            </w:tcBorders>
          </w:tcPr>
          <w:p w:rsidR="002D374D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Красногорского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деятельность в сфере водоснабжения и водоотведения с использованием централизованных систем,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коммунальной инфраструктуры 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естественных монополий, в сфере услуг по передаче электрическ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(или) тепловой энергии - 3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субъ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ектов,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общедоступной электросвязи - 1 субъект.</w:t>
            </w:r>
          </w:p>
          <w:p w:rsidR="002D374D" w:rsidRDefault="002D374D" w:rsidP="00D9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«Красногорский район» от  22.03.2013 г № 297 «Об утверждении Общественного совета по вопросам ЖКХ при Администрации МО «Красногорский район» создан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совет потребителей по вопросам деятельности субъектов естественных монополий, являющийся постоянно действующим совещательно-консультативным органом. Целью деятельности совета является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до сведения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субъектов естественных монополий позиции потребителей товаров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услуг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, 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услуг для потребителей. </w:t>
            </w:r>
          </w:p>
          <w:p w:rsidR="002D374D" w:rsidRPr="005366A4" w:rsidRDefault="002D374D" w:rsidP="00D944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«Красногорский район»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Тарифная комиссия, на заседаниях которой рассматриваются вопросы по установлению тарифов на содержание общего имущества жилых помещений, по плате за наем муниципальных жилых помещений, а также по тарифу на вывоз жидких бытовых отходов для организации, выполняющей данные работы.</w:t>
            </w:r>
          </w:p>
        </w:tc>
      </w:tr>
      <w:tr w:rsidR="002D374D" w:rsidRPr="005366A4" w:rsidTr="0094259C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Организация учета мнения потребителей, задействованных в рамках общественного контроля, при принятии решения об установлении тарифов на товары и услуги субъектов естественных монополий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Прозрачность деятельности субъектов естественных монополий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ткрытость регулирования; 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составе тарифа на сод</w:t>
            </w:r>
            <w:r w:rsidR="00B953D2">
              <w:rPr>
                <w:rFonts w:ascii="Times New Roman" w:hAnsi="Times New Roman" w:cs="Times New Roman"/>
                <w:sz w:val="24"/>
                <w:szCs w:val="24"/>
              </w:rPr>
              <w:t>ержание об</w:t>
            </w:r>
            <w:r w:rsidR="00D6112D">
              <w:rPr>
                <w:rFonts w:ascii="Times New Roman" w:hAnsi="Times New Roman" w:cs="Times New Roman"/>
                <w:sz w:val="24"/>
                <w:szCs w:val="24"/>
              </w:rPr>
              <w:t xml:space="preserve">щего имущества для нанимателей  жилых помещений </w:t>
            </w:r>
            <w:r w:rsidR="00B953D2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 на стендах</w:t>
            </w:r>
            <w:r w:rsidR="00D611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953D2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ЖКХ, Отдел планово-экономической работы</w:t>
            </w:r>
          </w:p>
        </w:tc>
      </w:tr>
      <w:tr w:rsidR="002D374D" w:rsidRPr="005366A4" w:rsidTr="0094259C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открытости при принятии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по вопросам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товары и услуги субъектов естественных монополий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Тарифной комиссии по принятию решений об установлении тарифов на товары и услуги естественных монополий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полномочий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решениях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«Красногорский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94259C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и дальнейшая 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ализация перечня муниципальных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рынков, на которых присутствуют субъекты естественных монополий локального и регионального уровня (далее - Перечень)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обеспеченности потребителей товаров и услуг о деятельности субъектов естественных монополий;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ежегодной актуализацией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версия Перечня, размещенная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«Красногорский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811A10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естественных монополий по вопросам раскрытия информации, повышающей прозрачность деятельности субъектов естественных монополий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района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формирования тарифов на услуги субъектов естественных монополий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совместных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2D374D" w:rsidRPr="005366A4" w:rsidTr="00811A10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 w:rsidP="00942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естественных монополий в размещении в сети Интернет наглядной информации о свободных резервах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мощности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 отображением на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карте  Красногорского района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ориентировочного места подключения (технологического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присоединения) к сетям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иториальных сетевых организаций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AB6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потребителей о возможности 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 и ЖКХ</w:t>
            </w:r>
          </w:p>
        </w:tc>
      </w:tr>
      <w:tr w:rsidR="002D374D" w:rsidRPr="005366A4" w:rsidTr="00081449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Содействие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«Красногорский район» Отделом планово-экономической работы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(уполномоченный орган по содействию развитию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«Экономика» создана вкладка "Конкуренция"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информации (включая разъяснения к ней) о выполнении требований Стандарта и мероприятий, предусмотренных Планом, а также документов, принимаемых во исполнение Стандарта и Плана и в целях содействия развитию конкуренции.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Показателем эффективности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риятий является повышение к 2020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году доли субъектов предпринимательской деятельности и потребителей товаров (работ, услуг), считающих качество (уровень доступности, понятность и удобство получения) официальной информации о состоянии конкурентной среды на рынках товаров,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и услуг муниципального образования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 деятельности по содействию развитию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год удовлетворительным - до 60%</w:t>
            </w:r>
            <w:proofErr w:type="gramEnd"/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Формирование прозрачной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 работы  органов местного самоуправления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реализации результативных и эффективных мер по развитию конкуренции в интересах конечного потребителя товаров и услуг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Письма по обращению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предпринимательской деятельности, потребителей товаров и услуг и общественных организаций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«Красногорский район»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79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муниципального образования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требований Стандарта и мероприятий "дорожной карты" по содействию развитию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; документов, принимаемых во исполнение требований Стандарта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"дорожной карты" и в целях содействи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развитию конкуренции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деятельности по содействию развитию конкуренции; ежегодного доклада "Состояние и развитие конкурентной среды на рынках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услуг в муниципальном образовании «Красногорский район»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не реже чем раз в квартал</w:t>
            </w:r>
          </w:p>
        </w:tc>
        <w:tc>
          <w:tcPr>
            <w:tcW w:w="4684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иных заинтересованных лиц, потребителей товаров (работ, услуг)</w:t>
            </w:r>
          </w:p>
        </w:tc>
        <w:tc>
          <w:tcPr>
            <w:tcW w:w="2552" w:type="dxa"/>
            <w:tcBorders>
              <w:bottom w:val="nil"/>
            </w:tcBorders>
          </w:tcPr>
          <w:p w:rsidR="002D374D" w:rsidRPr="005366A4" w:rsidRDefault="002D374D" w:rsidP="00255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ормация на сайте муниципального образования «Красногорский район»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раздел</w:t>
            </w:r>
            <w:r w:rsidR="00B953D2">
              <w:rPr>
                <w:rFonts w:ascii="Times New Roman" w:hAnsi="Times New Roman" w:cs="Times New Roman"/>
                <w:sz w:val="24"/>
                <w:szCs w:val="24"/>
              </w:rPr>
              <w:t>е "Стандарт развития конкуренции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состояния и развития конкурентной среды на рынках товаров (работ, услуг)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доводимой квоты опрошенных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содействию развитию конкуренции, повышение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тативности деятельности  ОМСУ района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Анкеты, переданные в Министерство экономики УР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печатных  и сетевых изданиях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мероприятиях по содействию развитию конкуренции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 информированности населения о деятельности по содействию развитию конкуренции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Информация по публикациям в СМИ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условий для развития конкуренции на муниципальном уровне, содействие развитию механизмов взаимодействия с общественными организациями и представителями интересов потребителей и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учета мнения бизнес-сообщества в работе органов местного самоуправления и представления интересов бизнеса создан Совет по поддержке предпринимательства и инвестиционной деятельности, в который вошли индивидуальные предприниматели и руководители частных предприятий.</w:t>
            </w:r>
            <w:proofErr w:type="gramEnd"/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 работа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благоприятных условий для развития конкуренции на основе принципов и положений Стандарта, включающей мониторинг обращений субъектов предпринимательской деятельности, потребителей товаров (работ, услуг) по качеству конкурентной среды,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состояния конкурентной среды на рынках товаров (работ,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проводимом Министерством экономики Удмуртской Республики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содействие в создании и реализации механизмов общественного контроля за деятельностью субъектов естественных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нополий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Показателями эффективности мероприятий по содействию развитию конкуренции являются: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Министерством экономики Удмуртской Республики соглашения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при внедрении </w:t>
            </w:r>
            <w:hyperlink r:id="rId31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конкуренции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 2017 году;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привлечение к взаимодействию общественных организаций и заинтересованных лиц, представляющих интересы субъектов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дпринимательской деятельности.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 внедрении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«Красногорский район»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в субъектах Российской Федерации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с Министерством экономики Удмуртской Республики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фициальном сайте муниципального образования «Красногорский район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в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"Конкуренция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на уровне Удмуртской Республики обучающих мероприятиях и тренингах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для ОМСУ УР по вопросам содействия развитию конкуренции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реже 2 раз в год</w:t>
            </w:r>
          </w:p>
        </w:tc>
        <w:tc>
          <w:tcPr>
            <w:tcW w:w="4684" w:type="dxa"/>
            <w:gridSpan w:val="2"/>
            <w:tcBorders>
              <w:bottom w:val="nil"/>
            </w:tcBorders>
          </w:tcPr>
          <w:p w:rsidR="002D374D" w:rsidRPr="005366A4" w:rsidRDefault="00B9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по вопросам развития конкуренции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Программы обучения на официальном сайте Минэкономики УР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Минэкономики УР, УФАС по УР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анию)</w:t>
            </w:r>
          </w:p>
        </w:tc>
      </w:tr>
      <w:tr w:rsidR="002D374D" w:rsidRPr="005366A4" w:rsidTr="00EE6BBD"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состава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предпринимательства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</w:tcPr>
          <w:p w:rsidR="002D374D" w:rsidRPr="005366A4" w:rsidRDefault="00B95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конкуренции в районе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Администрации муниципального образования «Красногорский район»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</w:t>
            </w:r>
          </w:p>
        </w:tc>
      </w:tr>
      <w:tr w:rsidR="002D374D" w:rsidRPr="005366A4" w:rsidTr="00EE6BBD">
        <w:tblPrEx>
          <w:tblBorders>
            <w:insideH w:val="nil"/>
          </w:tblBorders>
        </w:tblPrEx>
        <w:tc>
          <w:tcPr>
            <w:tcW w:w="14663" w:type="dxa"/>
            <w:gridSpan w:val="11"/>
            <w:tcBorders>
              <w:top w:val="single" w:sz="4" w:space="0" w:color="auto"/>
              <w:bottom w:val="nil"/>
            </w:tcBorders>
          </w:tcPr>
          <w:p w:rsidR="002D374D" w:rsidRPr="005366A4" w:rsidRDefault="002D374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обеспечения соответствия требованиям антимонопольного законодательства деятельности органов республиканской и муниципальной власти</w:t>
            </w:r>
          </w:p>
        </w:tc>
      </w:tr>
      <w:tr w:rsidR="002D374D" w:rsidRPr="005366A4" w:rsidTr="005366A4">
        <w:tc>
          <w:tcPr>
            <w:tcW w:w="14663" w:type="dxa"/>
            <w:gridSpan w:val="11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 декабря 2017 года N 618 "Об основных направлениях государственной политики по развитию конкуренции" утвержден Национальный </w:t>
            </w:r>
            <w:hyperlink r:id="rId33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в Российской Федерации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018 - 2020 годы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; активное содействие развитию конкуренции в Российской Федерации определено приоритетным направлением деятельности органов влас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всех уровней; на муниципальном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уровне предусмотрено создание системы внутреннего обеспечения соответствия требованиям антимонопольного законодательства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самоуправления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 данным мониторинга оценки бизнес-сообществом уровня административных барьеров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проведенного Удмуртской Республикой,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барьерам респондентами отнесены высокие налоги (52,0%), сложность получения лицензий (10,3%), доступ к земельным участкам (11,0%),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госзакупкам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(5,4%).</w:t>
            </w:r>
          </w:p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Показателями эффективности мероприятий и развития конкуренции являются положительная динамика мнений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 снижении административных барьеров и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со стороны органов власти, снижение количества нарушений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 не менее чем в 2 раза по сравнению с 2017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изменений в положения о структурных подразделениях Администрации МО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, предусматривающие приоритет целей и задач по содействию развитию конкуренции на соответствующих товарных рынках согласно Национальному плану развития конкуренции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 качестве приоритетного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структурных подразделений Администрации муниципального образования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содействия развитию конкуренции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Администрации  муниципального образования «Красногорский район»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планово-экономической работы, структурные подразделения Администрации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Создание системы внутреннего обеспечения соответствия требованиям антимонопольного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одательства деятельности Администрации муниципального образования «Красногорский район»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(система антимонопольного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января 2020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антимонопольного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 не менее чем в 2 раза по сравнению с 2017 годом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«Красногорский район»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республиканскими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исполнительной власти в целях реализации Национального плана развития конкуренции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и достижение ожидаемых результатов в отраслях (сферах) экономики (видах деятельности), включенных в Национальный план развития конкуренции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адрес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</w:p>
        </w:tc>
        <w:tc>
          <w:tcPr>
            <w:tcW w:w="1701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«Красногорский район»</w:t>
            </w:r>
          </w:p>
        </w:tc>
      </w:tr>
      <w:tr w:rsidR="002D374D" w:rsidRPr="005366A4" w:rsidTr="005366A4">
        <w:tc>
          <w:tcPr>
            <w:tcW w:w="79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58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ОМСУ района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антимонопольного законодательства, а также требований Федерального </w:t>
            </w:r>
            <w:hyperlink r:id="rId34" w:history="1">
              <w:r w:rsidRPr="005366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"О защите конкуренции"</w:t>
            </w:r>
          </w:p>
        </w:tc>
        <w:tc>
          <w:tcPr>
            <w:tcW w:w="1474" w:type="dxa"/>
            <w:gridSpan w:val="2"/>
          </w:tcPr>
          <w:p w:rsidR="002D374D" w:rsidRPr="005366A4" w:rsidRDefault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84" w:type="dxa"/>
            <w:gridSpan w:val="2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proofErr w:type="spellStart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552" w:type="dxa"/>
          </w:tcPr>
          <w:p w:rsidR="002D374D" w:rsidRPr="005366A4" w:rsidRDefault="002D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отдел планово-экономической работы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рассмотрения жалоб, заявлений и </w:t>
            </w:r>
            <w:r w:rsidRPr="00536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хозяйствующих субъектов, граждан</w:t>
            </w:r>
          </w:p>
        </w:tc>
        <w:tc>
          <w:tcPr>
            <w:tcW w:w="1701" w:type="dxa"/>
            <w:gridSpan w:val="2"/>
          </w:tcPr>
          <w:p w:rsidR="002D374D" w:rsidRPr="005366A4" w:rsidRDefault="00320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информационной и кадровой работы, </w:t>
            </w:r>
            <w:r w:rsidR="002D374D" w:rsidRPr="005366A4">
              <w:rPr>
                <w:rFonts w:ascii="Times New Roman" w:hAnsi="Times New Roman" w:cs="Times New Roman"/>
                <w:sz w:val="24"/>
                <w:szCs w:val="24"/>
              </w:rPr>
              <w:t>УФАС по УР (по согласованию)</w:t>
            </w:r>
          </w:p>
        </w:tc>
      </w:tr>
    </w:tbl>
    <w:p w:rsidR="005366A4" w:rsidRPr="005366A4" w:rsidRDefault="005366A4">
      <w:pPr>
        <w:rPr>
          <w:rFonts w:ascii="Times New Roman" w:hAnsi="Times New Roman" w:cs="Times New Roman"/>
          <w:sz w:val="24"/>
          <w:szCs w:val="24"/>
        </w:rPr>
        <w:sectPr w:rsidR="005366A4" w:rsidRPr="005366A4" w:rsidSect="00CC1123">
          <w:pgSz w:w="16838" w:h="11905" w:orient="landscape"/>
          <w:pgMar w:top="624" w:right="1134" w:bottom="624" w:left="1134" w:header="0" w:footer="0" w:gutter="0"/>
          <w:cols w:space="720"/>
        </w:sectPr>
      </w:pPr>
    </w:p>
    <w:p w:rsidR="00EE1EDD" w:rsidRPr="005366A4" w:rsidRDefault="00EE1EDD" w:rsidP="00CC11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E1EDD" w:rsidRPr="005366A4" w:rsidSect="00CC1123">
      <w:pgSz w:w="16838" w:h="11905" w:orient="landscape"/>
      <w:pgMar w:top="851" w:right="1134" w:bottom="68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7E3"/>
    <w:multiLevelType w:val="hybridMultilevel"/>
    <w:tmpl w:val="7654DEF0"/>
    <w:lvl w:ilvl="0" w:tplc="F6E4354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A4"/>
    <w:rsid w:val="000005F1"/>
    <w:rsid w:val="00011D0D"/>
    <w:rsid w:val="0001674A"/>
    <w:rsid w:val="00027222"/>
    <w:rsid w:val="00040625"/>
    <w:rsid w:val="0006784C"/>
    <w:rsid w:val="00081449"/>
    <w:rsid w:val="000A6438"/>
    <w:rsid w:val="000C67B5"/>
    <w:rsid w:val="000E5C9E"/>
    <w:rsid w:val="001207E0"/>
    <w:rsid w:val="00136E58"/>
    <w:rsid w:val="001450D4"/>
    <w:rsid w:val="00160FBA"/>
    <w:rsid w:val="001630BD"/>
    <w:rsid w:val="00164CE5"/>
    <w:rsid w:val="00167969"/>
    <w:rsid w:val="00185A0B"/>
    <w:rsid w:val="001E28C8"/>
    <w:rsid w:val="00201690"/>
    <w:rsid w:val="0020742D"/>
    <w:rsid w:val="0020761E"/>
    <w:rsid w:val="0023316E"/>
    <w:rsid w:val="002447CA"/>
    <w:rsid w:val="00255461"/>
    <w:rsid w:val="00283B6F"/>
    <w:rsid w:val="002A0B12"/>
    <w:rsid w:val="002A6556"/>
    <w:rsid w:val="002D374D"/>
    <w:rsid w:val="002D7142"/>
    <w:rsid w:val="002E0C94"/>
    <w:rsid w:val="002E372B"/>
    <w:rsid w:val="002F398E"/>
    <w:rsid w:val="00300EB4"/>
    <w:rsid w:val="00301284"/>
    <w:rsid w:val="00305B71"/>
    <w:rsid w:val="00320EA1"/>
    <w:rsid w:val="00321491"/>
    <w:rsid w:val="00376AE6"/>
    <w:rsid w:val="00396C81"/>
    <w:rsid w:val="003C682E"/>
    <w:rsid w:val="003D384F"/>
    <w:rsid w:val="003D4CF3"/>
    <w:rsid w:val="003D7FDC"/>
    <w:rsid w:val="003E6805"/>
    <w:rsid w:val="004110D6"/>
    <w:rsid w:val="00423334"/>
    <w:rsid w:val="00424286"/>
    <w:rsid w:val="0043116C"/>
    <w:rsid w:val="00437318"/>
    <w:rsid w:val="004546EB"/>
    <w:rsid w:val="004A6F40"/>
    <w:rsid w:val="004C51A2"/>
    <w:rsid w:val="004D20EF"/>
    <w:rsid w:val="004F2FC4"/>
    <w:rsid w:val="0051343B"/>
    <w:rsid w:val="005214F6"/>
    <w:rsid w:val="005303EC"/>
    <w:rsid w:val="005366A4"/>
    <w:rsid w:val="00542C14"/>
    <w:rsid w:val="00561446"/>
    <w:rsid w:val="00573EB8"/>
    <w:rsid w:val="00574585"/>
    <w:rsid w:val="005777DF"/>
    <w:rsid w:val="00597E54"/>
    <w:rsid w:val="005A4A86"/>
    <w:rsid w:val="005B255C"/>
    <w:rsid w:val="005B27F8"/>
    <w:rsid w:val="005C31DC"/>
    <w:rsid w:val="005C59AE"/>
    <w:rsid w:val="005D5EFF"/>
    <w:rsid w:val="005E7002"/>
    <w:rsid w:val="006152C5"/>
    <w:rsid w:val="006503B4"/>
    <w:rsid w:val="00664B21"/>
    <w:rsid w:val="00665AD4"/>
    <w:rsid w:val="00677540"/>
    <w:rsid w:val="006C6ACA"/>
    <w:rsid w:val="00703F65"/>
    <w:rsid w:val="00722A4D"/>
    <w:rsid w:val="00723A9A"/>
    <w:rsid w:val="00726782"/>
    <w:rsid w:val="007623C6"/>
    <w:rsid w:val="007749B9"/>
    <w:rsid w:val="0078775B"/>
    <w:rsid w:val="007B6685"/>
    <w:rsid w:val="007E75AF"/>
    <w:rsid w:val="00811A10"/>
    <w:rsid w:val="00866A01"/>
    <w:rsid w:val="008708CF"/>
    <w:rsid w:val="00870E34"/>
    <w:rsid w:val="00870F8E"/>
    <w:rsid w:val="008977E9"/>
    <w:rsid w:val="008B0A27"/>
    <w:rsid w:val="008B3680"/>
    <w:rsid w:val="008C3023"/>
    <w:rsid w:val="008D4727"/>
    <w:rsid w:val="008D7F05"/>
    <w:rsid w:val="008E3E2C"/>
    <w:rsid w:val="008F011A"/>
    <w:rsid w:val="008F6ADF"/>
    <w:rsid w:val="008F6EA3"/>
    <w:rsid w:val="008F770C"/>
    <w:rsid w:val="00922952"/>
    <w:rsid w:val="00926331"/>
    <w:rsid w:val="00931A4D"/>
    <w:rsid w:val="0094259C"/>
    <w:rsid w:val="00965C06"/>
    <w:rsid w:val="0098128F"/>
    <w:rsid w:val="00984004"/>
    <w:rsid w:val="009A4D1C"/>
    <w:rsid w:val="009C5135"/>
    <w:rsid w:val="009D6DAA"/>
    <w:rsid w:val="009E4DD7"/>
    <w:rsid w:val="009E61CF"/>
    <w:rsid w:val="00A046A7"/>
    <w:rsid w:val="00A17D82"/>
    <w:rsid w:val="00A30CB0"/>
    <w:rsid w:val="00A41992"/>
    <w:rsid w:val="00A65F24"/>
    <w:rsid w:val="00A7246D"/>
    <w:rsid w:val="00A82C04"/>
    <w:rsid w:val="00A873CB"/>
    <w:rsid w:val="00AA1DCA"/>
    <w:rsid w:val="00AB4F9E"/>
    <w:rsid w:val="00AB6484"/>
    <w:rsid w:val="00AC4CEE"/>
    <w:rsid w:val="00AC77CE"/>
    <w:rsid w:val="00AE6317"/>
    <w:rsid w:val="00B11F11"/>
    <w:rsid w:val="00B204F2"/>
    <w:rsid w:val="00B21E2D"/>
    <w:rsid w:val="00B349DF"/>
    <w:rsid w:val="00B45A14"/>
    <w:rsid w:val="00B528AE"/>
    <w:rsid w:val="00B953D2"/>
    <w:rsid w:val="00BB2CA2"/>
    <w:rsid w:val="00BC0FF0"/>
    <w:rsid w:val="00BC7E5A"/>
    <w:rsid w:val="00BE42FA"/>
    <w:rsid w:val="00C068BA"/>
    <w:rsid w:val="00C524F0"/>
    <w:rsid w:val="00C57ADA"/>
    <w:rsid w:val="00C7316C"/>
    <w:rsid w:val="00C73AE4"/>
    <w:rsid w:val="00C76929"/>
    <w:rsid w:val="00C82AB7"/>
    <w:rsid w:val="00C83F76"/>
    <w:rsid w:val="00C86ECE"/>
    <w:rsid w:val="00C87A49"/>
    <w:rsid w:val="00C92F7B"/>
    <w:rsid w:val="00CB2430"/>
    <w:rsid w:val="00CC1123"/>
    <w:rsid w:val="00D00457"/>
    <w:rsid w:val="00D01577"/>
    <w:rsid w:val="00D23FAF"/>
    <w:rsid w:val="00D248BF"/>
    <w:rsid w:val="00D2739A"/>
    <w:rsid w:val="00D415F5"/>
    <w:rsid w:val="00D44157"/>
    <w:rsid w:val="00D6112D"/>
    <w:rsid w:val="00D74B65"/>
    <w:rsid w:val="00D9449F"/>
    <w:rsid w:val="00D9503E"/>
    <w:rsid w:val="00DB52EB"/>
    <w:rsid w:val="00DC6CB6"/>
    <w:rsid w:val="00DF0688"/>
    <w:rsid w:val="00E01462"/>
    <w:rsid w:val="00E02233"/>
    <w:rsid w:val="00E14752"/>
    <w:rsid w:val="00E52A32"/>
    <w:rsid w:val="00E53D89"/>
    <w:rsid w:val="00E631BD"/>
    <w:rsid w:val="00E72665"/>
    <w:rsid w:val="00EC7865"/>
    <w:rsid w:val="00ED1F5E"/>
    <w:rsid w:val="00EE00BF"/>
    <w:rsid w:val="00EE1EDD"/>
    <w:rsid w:val="00EE6BBD"/>
    <w:rsid w:val="00EE729D"/>
    <w:rsid w:val="00F61BA0"/>
    <w:rsid w:val="00F901E8"/>
    <w:rsid w:val="00FD31A9"/>
    <w:rsid w:val="00FD670E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14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14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14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214F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36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36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214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214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14F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14F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214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1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14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14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14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214F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36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36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214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214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14F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14F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214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4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rasno.ru" TargetMode="External"/><Relationship Id="rId13" Type="http://schemas.openxmlformats.org/officeDocument/2006/relationships/hyperlink" Target="consultantplus://offline/ref=EFACC0B690D2C40E0268C272158F60BC890D2319A0AA335799FE098B9811AB90C04F9F1A5AA675E8DEDF012E58FB5C295424J" TargetMode="External"/><Relationship Id="rId18" Type="http://schemas.openxmlformats.org/officeDocument/2006/relationships/hyperlink" Target="consultantplus://offline/ref=EFACC0B690D2C40E0268DC7F03E33EB4880E7A14AEA43C05C7A152D6CF18A1C795009E461EFB66E8DEDF0326475F20J" TargetMode="External"/><Relationship Id="rId26" Type="http://schemas.openxmlformats.org/officeDocument/2006/relationships/hyperlink" Target="consultantplus://offline/ref=EFACC0B690D2C40E0268DC7F03E33EB48B0F7C13A3A43C05C7A152D6CF18A1C795009E461EFB66E8DEDF0326475F2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ACC0B690D2C40E0268DC7F03E33EB48B0F7C13A3A43C05C7A152D6CF18A1C795009E461EFB66E8DEDF0326475F20J" TargetMode="External"/><Relationship Id="rId34" Type="http://schemas.openxmlformats.org/officeDocument/2006/relationships/hyperlink" Target="consultantplus://offline/ref=EFACC0B690D2C40E0268DC7F03E33EB488047C10A5AB3C05C7A152D6CF18A1C795009E461EFB66E8DEDF0326475F20J" TargetMode="External"/><Relationship Id="rId7" Type="http://schemas.openxmlformats.org/officeDocument/2006/relationships/hyperlink" Target="consultantplus://offline/ref=EFACC0B690D2C40E0268DC7F03E33EB48B0E7812A0AB3C05C7A152D6CF18A1C78700C64A1EF378E9D6CA557702AC512845AC3431D2D09FA5582BJ" TargetMode="External"/><Relationship Id="rId12" Type="http://schemas.openxmlformats.org/officeDocument/2006/relationships/hyperlink" Target="consultantplus://offline/ref=EFACC0B690D2C40E0268DC7F03E33EB48B007B14A3A73C05C7A152D6CF18A1C795009E461EFB66E8DEDF0326475F20J" TargetMode="External"/><Relationship Id="rId17" Type="http://schemas.openxmlformats.org/officeDocument/2006/relationships/hyperlink" Target="consultantplus://offline/ref=EFACC0B690D2C40E0268DC7F03E33EB4880E7A16AEAB3C05C7A152D6CF18A1C795009E461EFB66E8DEDF0326475F20J" TargetMode="External"/><Relationship Id="rId25" Type="http://schemas.openxmlformats.org/officeDocument/2006/relationships/hyperlink" Target="consultantplus://offline/ref=EFACC0B690D2C40E0268DC7F03E33EB48B0E7E16A4A03C05C7A152D6CF18A1C795009E461EFB66E8DEDF0326475F20J" TargetMode="External"/><Relationship Id="rId33" Type="http://schemas.openxmlformats.org/officeDocument/2006/relationships/hyperlink" Target="consultantplus://offline/ref=EFACC0B690D2C40E0268DC7F03E33EB4880E7813AEA53C05C7A152D6CF18A1C78700C64A1EF378EDD1CA557702AC512845AC3431D2D09FA5582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ACC0B690D2C40E0268DC7F03E33EB488047F12A6AA3C05C7A152D6CF18A1C78700C64A1EF378E9D4CA557702AC512845AC3431D2D09FA5582BJ" TargetMode="External"/><Relationship Id="rId20" Type="http://schemas.openxmlformats.org/officeDocument/2006/relationships/hyperlink" Target="consultantplus://offline/ref=EFACC0B690D2C40E0268DC7F03E33EB48B0E7E16A4A03C05C7A152D6CF18A1C795009E461EFB66E8DEDF0326475F20J" TargetMode="External"/><Relationship Id="rId29" Type="http://schemas.openxmlformats.org/officeDocument/2006/relationships/hyperlink" Target="consultantplus://offline/ref=EFACC0B690D2C40E0268C272158F60BC890D2319A1A532579FFE098B9811AB90C04F9F1A5AA675E8DEDF012E58FB5C295424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ACC0B690D2C40E0268DC7F03E33EB48B007B14A3A73C05C7A152D6CF18A1C795009E461EFB66E8DEDF0326475F20J" TargetMode="External"/><Relationship Id="rId24" Type="http://schemas.openxmlformats.org/officeDocument/2006/relationships/hyperlink" Target="consultantplus://offline/ref=EFACC0B690D2C40E0268DC7F03E33EB48B0E7E16A4A03C05C7A152D6CF18A1C795009E461EFB66E8DEDF0326475F20J" TargetMode="External"/><Relationship Id="rId32" Type="http://schemas.openxmlformats.org/officeDocument/2006/relationships/hyperlink" Target="consultantplus://offline/ref=EFACC0B690D2C40E0268DC7F03E33EB48806791CAFA53C05C7A152D6CF18A1C78700C64A1EF378E9D6CA557702AC512845AC3431D2D09FA5582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CC0B690D2C40E0268DC7F03E33EB48B007F15A0A43C05C7A152D6CF18A1C78700C64A1EF378E9D5CA557702AC512845AC3431D2D09FA5582BJ" TargetMode="External"/><Relationship Id="rId23" Type="http://schemas.openxmlformats.org/officeDocument/2006/relationships/hyperlink" Target="consultantplus://offline/ref=EFACC0B690D2C40E0268DC7F03E33EB48B0E7E16A4A03C05C7A152D6CF18A1C795009E461EFB66E8DEDF0326475F20J" TargetMode="External"/><Relationship Id="rId28" Type="http://schemas.openxmlformats.org/officeDocument/2006/relationships/hyperlink" Target="consultantplus://offline/ref=EFACC0B690D2C40E0268C272158F60BC890D2319A0A437549CFE098B9811AB90C04F9F1A5AA675E8DEDF012E58FB5C295424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FACC0B690D2C40E0268DC7F03E33EB48B0E7F12A2AA3C05C7A152D6CF18A1C795009E461EFB66E8DEDF0326475F20J" TargetMode="External"/><Relationship Id="rId19" Type="http://schemas.openxmlformats.org/officeDocument/2006/relationships/hyperlink" Target="consultantplus://offline/ref=EFACC0B690D2C40E0268DC7F03E33EB48B0E7E16A4A03C05C7A152D6CF18A1C795009E461EFB66E8DEDF0326475F20J" TargetMode="External"/><Relationship Id="rId31" Type="http://schemas.openxmlformats.org/officeDocument/2006/relationships/hyperlink" Target="consultantplus://offline/ref=EFACC0B690D2C40E0268DC7F03E33EB48806791CAFA53C05C7A152D6CF18A1C78700C64A1EF378E9D6CA557702AC512845AC3431D2D09FA5582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CC0B690D2C40E0268DC7F03E33EB48B0E7F12A2AA3C05C7A152D6CF18A1C795009E461EFB66E8DEDF0326475F20J" TargetMode="External"/><Relationship Id="rId14" Type="http://schemas.openxmlformats.org/officeDocument/2006/relationships/hyperlink" Target="consultantplus://offline/ref=EFACC0B690D2C40E0268C272158F60BC890D2319A0A635569AFE098B9811AB90C04F9F1A5AA675E8DEDF012E58FB5C295424J" TargetMode="External"/><Relationship Id="rId22" Type="http://schemas.openxmlformats.org/officeDocument/2006/relationships/hyperlink" Target="consultantplus://offline/ref=EFACC0B690D2C40E0268DC7F03E33EB48B0F7C13A3A43C05C7A152D6CF18A1C795009E461EFB66E8DEDF0326475F20J" TargetMode="External"/><Relationship Id="rId27" Type="http://schemas.openxmlformats.org/officeDocument/2006/relationships/hyperlink" Target="consultantplus://offline/ref=EFACC0B690D2C40E0268C272158F60BC890D2319A0AB32509FFE098B9811AB90C04F9F085AFE79E8D6C100234DAD0D6C18BF3431D2D297BA805C9E5F22J" TargetMode="External"/><Relationship Id="rId30" Type="http://schemas.openxmlformats.org/officeDocument/2006/relationships/hyperlink" Target="consultantplus://offline/ref=EFACC0B690D2C40E0268C272158F60BC890D2319A0A437549CFE098B9811AB90C04F9F085AFE79E8DEC809224DAD0D6C18BF3431D2D297BA805C9E5F22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</Pages>
  <Words>12472</Words>
  <Characters>71091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2019-08-29T11:35:00Z</cp:lastPrinted>
  <dcterms:created xsi:type="dcterms:W3CDTF">2019-08-08T09:54:00Z</dcterms:created>
  <dcterms:modified xsi:type="dcterms:W3CDTF">2019-08-29T11:36:00Z</dcterms:modified>
</cp:coreProperties>
</file>