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09" w:rsidRPr="001D5637" w:rsidRDefault="00A84009" w:rsidP="00193D8D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="008D5D89" w:rsidRPr="001D5637">
        <w:rPr>
          <w:rFonts w:ascii="Times New Roman" w:hAnsi="Times New Roman" w:cs="Times New Roman"/>
          <w:b/>
          <w:sz w:val="24"/>
          <w:szCs w:val="24"/>
          <w:lang w:bidi="hi-IN"/>
        </w:rPr>
        <w:t>0813500000118005105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A84009" w:rsidRPr="001D5637" w:rsidTr="003964F3">
        <w:tc>
          <w:tcPr>
            <w:tcW w:w="5778" w:type="dxa"/>
          </w:tcPr>
          <w:p w:rsidR="00A84009" w:rsidRPr="001D5637" w:rsidRDefault="00A84009" w:rsidP="00743252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A84009" w:rsidRPr="001D5637" w:rsidRDefault="00A84009" w:rsidP="0035702A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35702A" w:rsidRPr="001D5637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D5D89" w:rsidRPr="001D5637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19.09.2018</w:t>
            </w:r>
          </w:p>
        </w:tc>
      </w:tr>
    </w:tbl>
    <w:p w:rsidR="00A84009" w:rsidRPr="001D5637" w:rsidRDefault="0035702A" w:rsidP="0074325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AA2F61"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="00A84009"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84009" w:rsidRPr="001D5637" w:rsidRDefault="001C7629" w:rsidP="00743252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="00A84009" w:rsidRPr="001D5637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="00A84009" w:rsidRPr="001D5637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A84009" w:rsidRPr="001D5637">
        <w:rPr>
          <w:rFonts w:ascii="Times New Roman" w:hAnsi="Times New Roman" w:cs="Times New Roman"/>
          <w:sz w:val="24"/>
          <w:szCs w:val="24"/>
        </w:rPr>
        <w:t>и)</w:t>
      </w:r>
      <w:r w:rsidR="00A84009" w:rsidRPr="001D563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84009" w:rsidRPr="001D5637" w:rsidTr="003964F3">
        <w:tc>
          <w:tcPr>
            <w:tcW w:w="9571" w:type="dxa"/>
          </w:tcPr>
          <w:p w:rsidR="00A84009" w:rsidRPr="001D5637" w:rsidRDefault="008D5D89" w:rsidP="00743252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"КРАСНОГОРСКОЕ"</w:t>
            </w:r>
          </w:p>
        </w:tc>
      </w:tr>
    </w:tbl>
    <w:p w:rsidR="00C942B7" w:rsidRPr="001D5637" w:rsidRDefault="00C942B7" w:rsidP="005820BD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183181590616618370100100100102899244</w:t>
      </w:r>
    </w:p>
    <w:p w:rsidR="00A84009" w:rsidRPr="001D5637" w:rsidRDefault="00A84009" w:rsidP="0074325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="0035702A" w:rsidRPr="001D5637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="008D5D89"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13467-18 Приобретение и установка детской игровой площадки по адресу: Удмуртская Республика, Красногорский район, с. Красногорское, ул.Советская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="00A84009" w:rsidRPr="001D5637" w:rsidRDefault="00A84009" w:rsidP="0074325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8D5D89"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478893,33</w:t>
      </w:r>
      <w:r w:rsidR="0035702A"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="00A84009" w:rsidRPr="001D5637" w:rsidRDefault="00A84009" w:rsidP="0074325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r:id="rId6" w:history="1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7" w:history="1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="00A84009" w:rsidRPr="00D75C9E" w:rsidRDefault="00A84009" w:rsidP="00743252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="003F1430" w:rsidRPr="001D5637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8D5D89"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На заседан</w:t>
      </w:r>
      <w:proofErr w:type="gramStart"/>
      <w:r w:rsidR="008D5D89"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ии ау</w:t>
      </w:r>
      <w:proofErr w:type="gramEnd"/>
      <w:r w:rsidR="008D5D89"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193D8D" w:rsidRPr="001D5637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="00193D8D" w:rsidRPr="001D5637" w:rsidTr="008A258B">
        <w:tc>
          <w:tcPr>
            <w:tcW w:w="4111" w:type="dxa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193D8D" w:rsidRPr="001D5637" w:rsidTr="008A258B">
        <w:tc>
          <w:tcPr>
            <w:tcW w:w="4111" w:type="dxa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193D8D" w:rsidRPr="001D5637" w:rsidTr="008A258B">
        <w:tc>
          <w:tcPr>
            <w:tcW w:w="4111" w:type="dxa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Назмутдинова Ю. В.</w:t>
            </w:r>
          </w:p>
        </w:tc>
        <w:tc>
          <w:tcPr>
            <w:tcW w:w="2977" w:type="dxa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="00A84009" w:rsidRPr="001D5637" w:rsidRDefault="008D5D89" w:rsidP="00743252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="00A84009" w:rsidRPr="001D5637" w:rsidRDefault="00A84009" w:rsidP="0074325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="008D5D89" w:rsidRPr="001D5637">
        <w:rPr>
          <w:rFonts w:ascii="Times New Roman" w:hAnsi="Times New Roman"/>
          <w:sz w:val="24"/>
          <w:szCs w:val="24"/>
          <w:lang w:eastAsia="zh-CN" w:bidi="hi-IN"/>
        </w:rPr>
        <w:t>2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193D8D" w:rsidRPr="001D5637" w:rsidTr="008A25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D8D" w:rsidRPr="001D5637" w:rsidRDefault="008A7916" w:rsidP="008A258B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="00193D8D" w:rsidRPr="001D5637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="00193D8D" w:rsidRPr="001D5637" w:rsidTr="008A25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8D" w:rsidRPr="001D5637" w:rsidRDefault="008C5D6A" w:rsidP="008A258B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103791310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8D" w:rsidRPr="00A444CD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17.09.2018 14:38:14 (по московскому времени)</w:t>
            </w:r>
          </w:p>
        </w:tc>
      </w:tr>
      <w:tr w:rsidR="00193D8D" w:rsidRPr="001D5637" w:rsidTr="008A25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8D" w:rsidRPr="001D5637" w:rsidRDefault="008C5D6A" w:rsidP="008A258B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103793101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8D" w:rsidRPr="00A444CD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17.09.2018 22:40:42 (по московскому времени)</w:t>
            </w:r>
          </w:p>
        </w:tc>
      </w:tr>
    </w:tbl>
    <w:p w:rsidR="00A84009" w:rsidRPr="001D5637" w:rsidRDefault="00A84009" w:rsidP="0074325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="00E629F1" w:rsidRPr="001D5637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="00193D8D" w:rsidRPr="001D5637" w:rsidTr="008A258B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D8D" w:rsidRPr="001D5637" w:rsidRDefault="008A7916" w:rsidP="008A258B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="00193D8D" w:rsidRPr="001D5637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="00193D8D" w:rsidRPr="001D5637" w:rsidTr="008A258B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8D" w:rsidRPr="001D5637" w:rsidRDefault="008C5D6A" w:rsidP="008A258B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103791310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D8D" w:rsidRPr="001D5637" w:rsidTr="008A258B"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8D" w:rsidRPr="001D5637" w:rsidRDefault="008C5D6A" w:rsidP="008A258B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103793101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RDefault="00553D3C" w:rsidP="0074325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A84009" w:rsidRPr="00A444CD" w:rsidRDefault="008D5D89" w:rsidP="0074325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="00193D8D" w:rsidRPr="001D5637" w:rsidTr="008A258B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D8D" w:rsidRPr="001D5637" w:rsidRDefault="008A7916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="00193D8D"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D8D" w:rsidRPr="001D5637" w:rsidRDefault="00193D8D" w:rsidP="008A258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="00DF3A17" w:rsidRPr="001D5637" w:rsidTr="0082065F"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2F56D7" w:rsidRDefault="00DF3A17" w:rsidP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</w:rPr>
              <w:t>103791310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0C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DF3A17" w:rsidRPr="001D5637" w:rsidTr="0082065F">
        <w:tc>
          <w:tcPr>
            <w:tcW w:w="1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9F" w:rsidRDefault="00C00C9F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0C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DF3A17" w:rsidRPr="001D5637" w:rsidTr="0082065F">
        <w:tc>
          <w:tcPr>
            <w:tcW w:w="1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9F" w:rsidRDefault="00C00C9F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</w:rPr>
              <w:t>Назмутдинова Ю. В.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0C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DF3A17" w:rsidRPr="001D5637" w:rsidTr="0082065F"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2F56D7" w:rsidRDefault="00DF3A17" w:rsidP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</w:rPr>
              <w:t>103793101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0C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DF3A17" w:rsidRPr="001D5637" w:rsidTr="0082065F">
        <w:tc>
          <w:tcPr>
            <w:tcW w:w="1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9F" w:rsidRDefault="00C00C9F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0C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DF3A17" w:rsidRPr="001D5637" w:rsidTr="0082065F">
        <w:tc>
          <w:tcPr>
            <w:tcW w:w="1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9F" w:rsidRDefault="00C00C9F"/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</w:rPr>
              <w:t>Назмутдинова Ю. В.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17" w:rsidRPr="00CE0672" w:rsidRDefault="00DF3A17" w:rsidP="000C5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="00A84009" w:rsidRDefault="00A84009" w:rsidP="00743252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="00F645A0" w:rsidRPr="001D5637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p w:rsidR="00D75C9E" w:rsidRPr="001D5637" w:rsidRDefault="00D75C9E" w:rsidP="00D75C9E">
      <w:pPr>
        <w:pStyle w:val="a9"/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A84009" w:rsidRPr="001D5637" w:rsidTr="0074325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4009" w:rsidRPr="001D5637" w:rsidRDefault="008A7916" w:rsidP="00743252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="00A84009"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4009" w:rsidRPr="001D5637" w:rsidRDefault="00A84009" w:rsidP="0074325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="00A84009" w:rsidRPr="001D5637" w:rsidTr="0074325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09" w:rsidRPr="001D5637" w:rsidRDefault="008C5D6A" w:rsidP="00743252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103791310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09" w:rsidRPr="00A444CD" w:rsidRDefault="008D5D89" w:rsidP="0074325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17.09.2018 14:38:14 (по московскому времени)</w:t>
            </w:r>
          </w:p>
        </w:tc>
      </w:tr>
      <w:tr w:rsidR="00A84009" w:rsidRPr="001D5637" w:rsidTr="0074325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09" w:rsidRPr="001D5637" w:rsidRDefault="008C5D6A" w:rsidP="00743252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103793101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009" w:rsidRPr="00A444CD" w:rsidRDefault="008D5D89" w:rsidP="0074325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17.09.2018 22:40:42 (по московскому времени)</w:t>
            </w:r>
          </w:p>
        </w:tc>
      </w:tr>
    </w:tbl>
    <w:p w:rsidR="001D5637" w:rsidRPr="00D75C9E" w:rsidRDefault="00D75C9E" w:rsidP="00D75C9E">
      <w:pPr>
        <w:spacing w:before="120" w:after="0" w:line="240" w:lineRule="auto"/>
        <w:ind w:left="-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5C9E">
        <w:rPr>
          <w:rFonts w:ascii="Times New Roman" w:eastAsia="Calibri" w:hAnsi="Times New Roman" w:cs="Times New Roman"/>
          <w:sz w:val="24"/>
          <w:szCs w:val="24"/>
        </w:rPr>
        <w:t>10. Среди предложений участников закупки, признанных участниками электронного аукциона, отсутствуют предложения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="00230454" w:rsidRPr="001D5637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="00230454" w:rsidRPr="001D5637" w:rsidRDefault="00230454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54" w:rsidRPr="001D5637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="00230454" w:rsidTr="00230454">
        <w:tc>
          <w:tcPr>
            <w:tcW w:w="3714" w:type="dxa"/>
            <w:hideMark/>
          </w:tcPr>
          <w:p w:rsidR="00230454" w:rsidRPr="001D5637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="00230454" w:rsidRPr="001D5637" w:rsidRDefault="00230454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54" w:rsidRPr="001D5637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230454" w:rsidTr="00230454">
        <w:tc>
          <w:tcPr>
            <w:tcW w:w="3714" w:type="dxa"/>
            <w:hideMark/>
          </w:tcPr>
          <w:p w:rsidR="00230454" w:rsidRPr="001D5637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комиссии</w:t>
            </w:r>
          </w:p>
        </w:tc>
        <w:tc>
          <w:tcPr>
            <w:tcW w:w="2410" w:type="dxa"/>
          </w:tcPr>
          <w:p w:rsidR="00230454" w:rsidRPr="001D5637" w:rsidRDefault="00230454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54" w:rsidRPr="001D5637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Назмутдинова Ю. В.</w:t>
            </w:r>
          </w:p>
        </w:tc>
      </w:tr>
    </w:tbl>
    <w:p w:rsidR="00A84009" w:rsidRPr="00193D8D" w:rsidRDefault="00A84009" w:rsidP="00193D8D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4009" w:rsidRPr="00193D8D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00C9F"/>
    <w:rsid w:val="00C2119A"/>
    <w:rsid w:val="00C942B7"/>
    <w:rsid w:val="00CB63BA"/>
    <w:rsid w:val="00CD0EFF"/>
    <w:rsid w:val="00D12897"/>
    <w:rsid w:val="00D53CB8"/>
    <w:rsid w:val="00D75C9E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Терентьев</cp:lastModifiedBy>
  <cp:revision>2</cp:revision>
  <dcterms:created xsi:type="dcterms:W3CDTF">2018-09-19T09:19:00Z</dcterms:created>
  <dcterms:modified xsi:type="dcterms:W3CDTF">2018-09-19T09:19:00Z</dcterms:modified>
</cp:coreProperties>
</file>