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июня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675FF8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7</w:t>
      </w:r>
      <w:r w:rsidR="00DB1E18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2A6A7A" w:rsidRPr="002A6A7A" w:rsidRDefault="002A6A7A" w:rsidP="002A6A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органа местного самоуправления, принявшего решение об условиях приватизации такого имущества, реквизиты указанного решения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A6A7A" w:rsidRPr="002A6A7A" w:rsidRDefault="002A6A7A" w:rsidP="002A6A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2A6A7A">
        <w:rPr>
          <w:rFonts w:ascii="Times New Roman" w:eastAsia="Times New Roman" w:hAnsi="Times New Roman" w:cs="Times New Roman"/>
          <w:lang w:eastAsia="ar-SA"/>
        </w:rPr>
        <w:t>Администрация муниципального образования «</w:t>
      </w:r>
      <w:r w:rsidR="00F0318F">
        <w:rPr>
          <w:rFonts w:ascii="Times New Roman" w:eastAsia="Times New Roman" w:hAnsi="Times New Roman" w:cs="Times New Roman"/>
          <w:lang w:eastAsia="ar-SA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lang w:eastAsia="ar-SA"/>
        </w:rPr>
        <w:t>Красногорский район</w:t>
      </w:r>
      <w:r w:rsidR="00F0318F">
        <w:rPr>
          <w:rFonts w:ascii="Times New Roman" w:eastAsia="Times New Roman" w:hAnsi="Times New Roman" w:cs="Times New Roman"/>
          <w:lang w:eastAsia="ar-SA"/>
        </w:rPr>
        <w:t xml:space="preserve"> Удмуртской Республики</w:t>
      </w:r>
      <w:r w:rsidRPr="002A6A7A">
        <w:rPr>
          <w:rFonts w:ascii="Times New Roman" w:eastAsia="Times New Roman" w:hAnsi="Times New Roman" w:cs="Times New Roman"/>
          <w:lang w:eastAsia="ar-SA"/>
        </w:rPr>
        <w:t>».</w:t>
      </w:r>
    </w:p>
    <w:p w:rsidR="002A6A7A" w:rsidRPr="00F0318F" w:rsidRDefault="002A6A7A" w:rsidP="00F031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</w:t>
      </w:r>
      <w:r w:rsidRPr="002A6A7A">
        <w:rPr>
          <w:rFonts w:ascii="Times New Roman" w:eastAsia="Times New Roman" w:hAnsi="Times New Roman" w:cs="Times New Roman"/>
          <w:lang w:eastAsia="ar-SA"/>
        </w:rPr>
        <w:t>Администрации муниципального образования «</w:t>
      </w:r>
      <w:r w:rsidR="00F0318F">
        <w:rPr>
          <w:rFonts w:ascii="Times New Roman" w:eastAsia="Times New Roman" w:hAnsi="Times New Roman" w:cs="Times New Roman"/>
          <w:lang w:eastAsia="ar-SA"/>
        </w:rPr>
        <w:t>Муниципальный округ Красногорский район Удмуртской Республики»</w:t>
      </w:r>
      <w:r w:rsidRPr="002A6A7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F0318F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16.06.2022 г.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</w:t>
      </w:r>
      <w:r w:rsidR="00675FF8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="00DB1E1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</w:t>
      </w:r>
      <w:r w:rsidR="00EA193B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приватизации муниципального имущества без объявления цены».</w:t>
      </w:r>
    </w:p>
    <w:p w:rsidR="00E308EC" w:rsidRPr="00EA193B" w:rsidRDefault="002A6A7A" w:rsidP="00EA19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Наименование имущества и иные позволяющие его индивидуализировать сведения (характеристика имущества)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DB1E18" w:rsidRPr="009B5020" w:rsidRDefault="00093D8A" w:rsidP="00DB1E1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B353B5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продаж:</w:t>
      </w:r>
      <w:r w:rsidR="00F0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нежилое здание:</w:t>
      </w:r>
      <w:r w:rsidR="00F0318F" w:rsidRP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DB1E18" w:rsidRPr="009B5020">
        <w:rPr>
          <w:rFonts w:ascii="Times New Roman" w:eastAsia="Lucida Sans Unicode" w:hAnsi="Times New Roman" w:cs="Times New Roman"/>
          <w:color w:val="000000"/>
          <w:sz w:val="24"/>
          <w:szCs w:val="24"/>
        </w:rPr>
        <w:t>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Красногорское, ул. Лесная, д.8 «А».</w:t>
      </w:r>
    </w:p>
    <w:p w:rsidR="00B353B5" w:rsidRPr="00E308EC" w:rsidRDefault="00B353B5" w:rsidP="00DB1E1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B35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648"/>
        <w:gridCol w:w="1612"/>
        <w:gridCol w:w="2693"/>
      </w:tblGrid>
      <w:tr w:rsidR="00DB1E18" w:rsidRPr="00E308EC" w:rsidTr="002116BB">
        <w:trPr>
          <w:trHeight w:val="499"/>
          <w:jc w:val="center"/>
        </w:trPr>
        <w:tc>
          <w:tcPr>
            <w:tcW w:w="534" w:type="dxa"/>
            <w:vAlign w:val="center"/>
          </w:tcPr>
          <w:p w:rsidR="00DB1E18" w:rsidRPr="002F118B" w:rsidRDefault="00DB1E18" w:rsidP="002116B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3260" w:type="dxa"/>
          </w:tcPr>
          <w:p w:rsidR="00DB1E18" w:rsidRPr="002F118B" w:rsidRDefault="00DB1E18" w:rsidP="002116BB">
            <w:pPr>
              <w:widowControl w:val="0"/>
              <w:adjustRightInd w:val="0"/>
              <w:ind w:left="283" w:right="-108"/>
              <w:jc w:val="both"/>
            </w:pPr>
            <w:r w:rsidRPr="002F118B">
              <w:t>Адрес объекта, площадь</w:t>
            </w:r>
          </w:p>
        </w:tc>
        <w:tc>
          <w:tcPr>
            <w:tcW w:w="1648" w:type="dxa"/>
          </w:tcPr>
          <w:p w:rsidR="00DB1E18" w:rsidRPr="002F118B" w:rsidRDefault="00DB1E18" w:rsidP="002116B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612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</w:pPr>
            <w:r w:rsidRPr="002F118B">
              <w:t>Дата торгов</w:t>
            </w:r>
          </w:p>
        </w:tc>
        <w:tc>
          <w:tcPr>
            <w:tcW w:w="2693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DB1E18" w:rsidRPr="00E308EC" w:rsidTr="002116BB">
        <w:trPr>
          <w:trHeight w:val="1159"/>
          <w:jc w:val="center"/>
        </w:trPr>
        <w:tc>
          <w:tcPr>
            <w:tcW w:w="534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</w:tcPr>
          <w:p w:rsidR="00DB1E18" w:rsidRDefault="00DB1E18" w:rsidP="002116BB">
            <w:pPr>
              <w:widowControl w:val="0"/>
              <w:adjustRightInd w:val="0"/>
              <w:spacing w:after="120"/>
              <w:ind w:left="283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  <w:p w:rsidR="00DB1E18" w:rsidRDefault="00DB1E18" w:rsidP="002116BB">
            <w:pPr>
              <w:widowControl w:val="0"/>
              <w:adjustRightInd w:val="0"/>
              <w:spacing w:after="120"/>
              <w:ind w:left="283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  <w:p w:rsidR="00DB1E18" w:rsidRPr="002F118B" w:rsidRDefault="00DB1E18" w:rsidP="002116BB">
            <w:pPr>
              <w:widowControl w:val="0"/>
              <w:adjustRightInd w:val="0"/>
              <w:spacing w:after="120"/>
              <w:ind w:left="283" w:right="-108"/>
              <w:rPr>
                <w:b/>
                <w:sz w:val="22"/>
                <w:szCs w:val="22"/>
              </w:rPr>
            </w:pPr>
            <w:r w:rsidRPr="009B5020">
              <w:rPr>
                <w:rFonts w:eastAsia="Lucida Sans Unicode"/>
                <w:color w:val="000000"/>
                <w:sz w:val="24"/>
                <w:szCs w:val="24"/>
              </w:rPr>
              <w:t>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Красногорское, ул. Лесная, д.8 «А»</w:t>
            </w:r>
          </w:p>
        </w:tc>
        <w:tc>
          <w:tcPr>
            <w:tcW w:w="1648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27.09.2021</w:t>
            </w:r>
          </w:p>
        </w:tc>
        <w:tc>
          <w:tcPr>
            <w:tcW w:w="2693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  <w:tr w:rsidR="00DB1E18" w:rsidRPr="00E308EC" w:rsidTr="002116BB">
        <w:trPr>
          <w:trHeight w:val="1699"/>
          <w:jc w:val="center"/>
        </w:trPr>
        <w:tc>
          <w:tcPr>
            <w:tcW w:w="534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</w:pPr>
            <w:r>
              <w:t>2</w:t>
            </w:r>
          </w:p>
        </w:tc>
        <w:tc>
          <w:tcPr>
            <w:tcW w:w="3260" w:type="dxa"/>
            <w:vMerge/>
          </w:tcPr>
          <w:p w:rsidR="00DB1E18" w:rsidRPr="009B5020" w:rsidRDefault="00DB1E18" w:rsidP="002116BB">
            <w:pPr>
              <w:widowControl w:val="0"/>
              <w:adjustRightInd w:val="0"/>
              <w:spacing w:after="120"/>
              <w:ind w:left="283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</w:t>
            </w:r>
          </w:p>
        </w:tc>
        <w:tc>
          <w:tcPr>
            <w:tcW w:w="2693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  <w:tr w:rsidR="00DB1E18" w:rsidRPr="00E308EC" w:rsidTr="002116BB">
        <w:trPr>
          <w:trHeight w:val="1699"/>
          <w:jc w:val="center"/>
        </w:trPr>
        <w:tc>
          <w:tcPr>
            <w:tcW w:w="534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</w:pPr>
            <w:r>
              <w:t>3</w:t>
            </w:r>
          </w:p>
        </w:tc>
        <w:tc>
          <w:tcPr>
            <w:tcW w:w="3260" w:type="dxa"/>
            <w:vMerge/>
          </w:tcPr>
          <w:p w:rsidR="00DB1E18" w:rsidRPr="009B5020" w:rsidRDefault="00DB1E18" w:rsidP="002116BB">
            <w:pPr>
              <w:widowControl w:val="0"/>
              <w:adjustRightInd w:val="0"/>
              <w:spacing w:after="120"/>
              <w:ind w:left="283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</w:pPr>
            <w:r>
              <w:t>Продажа посредством публичного предложения</w:t>
            </w:r>
          </w:p>
        </w:tc>
        <w:tc>
          <w:tcPr>
            <w:tcW w:w="1612" w:type="dxa"/>
          </w:tcPr>
          <w:p w:rsidR="00DB1E18" w:rsidRDefault="00DB1E18" w:rsidP="002116BB">
            <w:pPr>
              <w:widowControl w:val="0"/>
              <w:adjustRightInd w:val="0"/>
              <w:ind w:left="283"/>
            </w:pPr>
            <w:r>
              <w:t>07.06.2022</w:t>
            </w:r>
          </w:p>
        </w:tc>
        <w:tc>
          <w:tcPr>
            <w:tcW w:w="2693" w:type="dxa"/>
          </w:tcPr>
          <w:p w:rsidR="00DB1E18" w:rsidRPr="002F118B" w:rsidRDefault="00DB1E18" w:rsidP="00DB1E18">
            <w:pPr>
              <w:widowControl w:val="0"/>
              <w:adjustRightInd w:val="0"/>
              <w:ind w:left="283"/>
            </w:pPr>
            <w:r>
              <w:rPr>
                <w:sz w:val="22"/>
                <w:szCs w:val="22"/>
              </w:rPr>
              <w:t>Продажа</w:t>
            </w:r>
            <w:r w:rsidRPr="002F118B">
              <w:rPr>
                <w:sz w:val="22"/>
                <w:szCs w:val="22"/>
              </w:rPr>
              <w:t xml:space="preserve"> признан</w:t>
            </w:r>
            <w:r>
              <w:rPr>
                <w:sz w:val="22"/>
                <w:szCs w:val="22"/>
              </w:rPr>
              <w:t>а</w:t>
            </w:r>
            <w:r w:rsidRPr="002F118B">
              <w:rPr>
                <w:sz w:val="22"/>
                <w:szCs w:val="22"/>
              </w:rPr>
              <w:t xml:space="preserve"> несостоявш</w:t>
            </w:r>
            <w:r>
              <w:rPr>
                <w:sz w:val="22"/>
                <w:szCs w:val="22"/>
              </w:rPr>
              <w:t>ейся</w:t>
            </w:r>
            <w:r w:rsidRPr="002F118B">
              <w:rPr>
                <w:sz w:val="22"/>
                <w:szCs w:val="22"/>
              </w:rPr>
              <w:t xml:space="preserve"> ввиду отсутствия заявок</w:t>
            </w:r>
          </w:p>
        </w:tc>
      </w:tr>
    </w:tbl>
    <w:p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B1E18" w:rsidRPr="00FF3F47" w:rsidRDefault="00DB1E18" w:rsidP="00DB1E18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кирпичное, в удовлетворительном состоянии, неэксплуатируемое, нуждается в капитальном ремонте, с незначительными изменениями несущих конструкций, существенным износом кровли. Наличие центральных коммуникаций – водоснабжение, электроснабжение - на дату продажи не функционируют.</w:t>
      </w:r>
    </w:p>
    <w:p w:rsidR="001D73CA" w:rsidRDefault="001D73CA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02460F" w:rsidRPr="00E308EC" w:rsidRDefault="000F6387" w:rsidP="0002460F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D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353B5" w:rsidRPr="00B3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в соответствии с Федеральным законом от 21.12.2001года №178-ФЗ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на основании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в муниципальной собственности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муниципального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>образования «Муниципальный округ Красногорский район Удмуртской Республики» на 2022год и на плановый период  2023 и 2024 годов, утвержденного решением Совета депутатов муниципального образования «Муниципальный округ Красногорский район Удмуртской Республики» от 16.12.2021 года № 82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, постановления Администрации муниципального образования «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="0002460F"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16.06.2022 г.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57</w:t>
      </w:r>
      <w:r w:rsidR="00DB1E18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5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DB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DB1E18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DB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1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02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02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="008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:rsidR="00F301A5" w:rsidRDefault="00383A02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время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подведения итогов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продажи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9.00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 </w:t>
      </w:r>
    </w:p>
    <w:p w:rsidR="003E7C07" w:rsidRDefault="003E7C07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3E7C07" w:rsidRPr="003E7C07" w:rsidRDefault="003E7C07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Продавец в любое время до начала торгов вправе отказаться от проведения продажи без объявления цены.</w:t>
      </w:r>
    </w:p>
    <w:p w:rsidR="003E7C07" w:rsidRDefault="0069707E" w:rsidP="00E308EC">
      <w:pPr>
        <w:spacing w:after="0" w:line="240" w:lineRule="auto"/>
        <w:ind w:firstLine="705"/>
        <w:jc w:val="both"/>
        <w:textAlignment w:val="baseline"/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  <w:r w:rsidR="003E7C07" w:rsidRPr="003E7C07"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адресу: Удмуртская Республика, Красногорский район, с. Красногорское, ул. Ленина, д.64, каб. 30, в рабочие дни с 8.00 час. до 15.00 час. по московскому времени. Телефон для справок: 8(34164)21892.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685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условия</w:t>
      </w:r>
    </w:p>
    <w:p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685B09" w:rsidRDefault="00685B09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00B8" w:rsidRPr="00E200B8" w:rsidRDefault="00E200B8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подачи заявки: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участия в продаже претенденты заполняют размещенную в открытой части электронной площадки форму заявки, а также направляют свои предложения о цене имущества.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Одновременно с заявкой претенденты представляют следующие документы: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лица: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заверенные копии учредительных документов;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оформленную в установленном порядке доверенность представителя претендента или нотариально заверенную копию такой доверенности, в случае, если от имени претендента действует его представитель по доверенности, прилагается копия паспорта всех страниц представителя претендента;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опись документов, прилагаемых к заявке.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физические лица предъявляют: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удостоверяющий личность;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опись документов, прилагаемых к заявке.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00B8" w:rsidRPr="00E200B8" w:rsidRDefault="00E200B8" w:rsidP="00E200B8">
      <w:pPr>
        <w:tabs>
          <w:tab w:val="right" w:leader="dot" w:pos="4762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Заявка и все прилагаемые к заявке документы подаются в электронном виде (должны быть отсканированы)  в читаемых стандартными средствами операционной системы </w:t>
      </w: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Windows</w:t>
      </w: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форматах графических изображений (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.JPG, .TIFF, .PDF, .PNG и т.п.)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Предложение о цене имущества подается в форме отдельного электронного документа, которому оператор обеспечивает дополнительную степень защиты от несанкционированного просмотра. 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Документы регистрируются оператором в журнале приема заявок с указанием даты и времени поступления на электронную площадку.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Продавец отказывает претенденту в приеме заявки в следующих случаях: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- заявка представлена лицом, не уполномоченным претендентом на осуществление таких действий;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представлены не все документы предусмотренные перечнем, указанным в информационном сообщении о продаже без объявления цены;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заключения договора купли-продажи имущества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: договор купли-продажи заключается с победителем в течение 5 рабочих дней со дня подведения итогов продажи.</w:t>
      </w:r>
    </w:p>
    <w:p w:rsidR="00E200B8" w:rsidRPr="00E200B8" w:rsidRDefault="00E200B8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Ограничения участия отдельных категорий физических лиц и юридических лиц в приватизации имущества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Покупателями муниципального имущества могут быть любые физические и юридические лица, за исключением: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5B0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случаев, предусмотренных статьей 25 Федеральный закон от 21.12.2001 N 178-ФЗ «О приватизации государственного и муниципального имущества»;</w:t>
      </w:r>
    </w:p>
    <w:p w:rsidR="00E200B8" w:rsidRPr="00E200B8" w:rsidRDefault="00685B09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="00E200B8" w:rsidRPr="00E2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E200B8" w:rsidRPr="00E200B8" w:rsidRDefault="00685B09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B09" w:rsidRPr="00685B09" w:rsidRDefault="00E308EC" w:rsidP="00685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685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85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Правила проведения продажи и</w:t>
      </w:r>
      <w:r w:rsidR="00685B09" w:rsidRPr="00685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определ</w:t>
      </w:r>
      <w:r w:rsidR="00485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ения ее победителя.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а также к журналу приема заявок.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</w:t>
      </w:r>
      <w:r w:rsidR="003741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</w:t>
      </w: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Покупателем имущества признается: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регистрации одной заявки и предложения о цене имущества - участник, представивший это предложение;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об имуществе;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количество поступивших и зарегистрированных заявок;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об отказе в принятии заявок с указанием причин отказа;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рассмотренных предложениях о цене имущества с указанием подавших их претендентов;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покупателе имущества;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цене приобретения имущества, предложенной покупателем;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иные необходимые сведения.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</w:t>
      </w: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Такое решение оформляется протоколом об итогах продажи имущества без объявления цены.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 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наименование имущества и иные позволяющие его индивидуализировать сведения (спецификация лота);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цена сделки;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фамилия, имя, отчество физического лица или наименование юридического лица - победителя.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  <w:r w:rsidR="0048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:rsidR="00485F46" w:rsidRDefault="00485F46" w:rsidP="00E6401C">
      <w:pPr>
        <w:pStyle w:val="TextBasTxt"/>
        <w:ind w:firstLine="709"/>
        <w:rPr>
          <w:shd w:val="clear" w:color="auto" w:fill="FFFFFF"/>
        </w:rPr>
      </w:pPr>
      <w:r w:rsidRPr="00485F46">
        <w:rPr>
          <w:shd w:val="clear" w:color="auto" w:fill="FFFFFF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485F46" w:rsidRDefault="00485F46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F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Денежные средства в счет оплаты приватизируемого имущества подлежат перечислению победителем продажи имущества в установленном порядке в бюджет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Красногорский</w:t>
      </w:r>
      <w:r w:rsidRPr="00485F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район» в размере и сроки, указанные в договоре купли-продажи имущества. Оплата производится по следующим реквизитам:</w:t>
      </w:r>
    </w:p>
    <w:p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845384" w:rsidRPr="000E681F" w:rsidRDefault="00845384" w:rsidP="00845384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0E681F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Получатель: УФК по Удмуртской Республик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е (Администрация муниципального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образования  Красногорский  район , лицевой счет 04133D08750)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За земельный участок под зданием: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получателя: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Отделение - НБ УДМУРТСКАЯ  РЕСПУБЛИКА //УФК по Удмуртской Республике г. Ижевск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КБК 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52611406024140000430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845384" w:rsidRDefault="00845384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3E7C07" w:rsidRPr="000E681F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0E681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:rsidR="003E7C07" w:rsidRPr="00845384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84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соответствующую сумму НДС в порядке, установленном законодательством Российской Федерации.</w:t>
      </w:r>
    </w:p>
    <w:p w:rsidR="003E7C07" w:rsidRPr="00845384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84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:rsidR="00845384" w:rsidRDefault="00845384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384" w:rsidRDefault="00845384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384" w:rsidRDefault="00845384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F31" w:rsidRPr="00E308EC" w:rsidRDefault="00E308EC" w:rsidP="00525E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91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(продавцу имущества)</w:t>
      </w:r>
    </w:p>
    <w:p w:rsidR="00E308EC" w:rsidRPr="00E308EC" w:rsidRDefault="00E308EC" w:rsidP="00E308E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продаже имущества, находящегося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муниципального образования 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D7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район</w:t>
      </w:r>
      <w:r w:rsidR="007D7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08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108B2" w:rsidRPr="00FB5F34" w:rsidRDefault="006C0EF5" w:rsidP="00FB5F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объявления цены</w:t>
      </w:r>
    </w:p>
    <w:p w:rsid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для физического лица или ИП, наименование для юридического лица  с указанием организационно-правовой формы)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</w:t>
      </w:r>
      <w:hyperlink w:anchor="P302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&lt;1&gt;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(устав, положение и т.д.)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2108B2" w:rsidRPr="002108B2" w:rsidTr="002108B2">
        <w:trPr>
          <w:trHeight w:val="2884"/>
        </w:trPr>
        <w:tc>
          <w:tcPr>
            <w:tcW w:w="11131" w:type="dxa"/>
            <w:shd w:val="clear" w:color="auto" w:fill="auto"/>
          </w:tcPr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физическим лицом, индивидуальным предпринимателем)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 _____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___________, дата выдачи "__" __________________ г.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"__" _______________ г.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</w:tc>
      </w:tr>
      <w:tr w:rsidR="002108B2" w:rsidRPr="002108B2" w:rsidTr="0004296B">
        <w:tc>
          <w:tcPr>
            <w:tcW w:w="11131" w:type="dxa"/>
            <w:shd w:val="clear" w:color="auto" w:fill="auto"/>
          </w:tcPr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юридическим лицом)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местонахождения: 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ОГРН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B2" w:rsidRPr="002108B2" w:rsidTr="0004296B">
        <w:tc>
          <w:tcPr>
            <w:tcW w:w="11131" w:type="dxa"/>
            <w:shd w:val="clear" w:color="auto" w:fill="auto"/>
          </w:tcPr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Претендента </w:t>
            </w:r>
            <w:hyperlink w:anchor="P303" w:history="1">
              <w:r w:rsidRPr="002108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(Ф.И.О.)         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 20__ г.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представителя: серия 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_______, дата выдачи "__" _________ г.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</w:tc>
      </w:tr>
    </w:tbl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Заполняется при подаче заявки юридическим лицом.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03"/>
      <w:bookmarkEnd w:id="0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Заполняется при подаче заявки лицом, действующим по доверенности.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решение об участии в продаже имущества (лота) 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цены: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______________________, 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лота __________________________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(лота): 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(лота): ______________________________________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2"/>
      <w:bookmarkEnd w:id="1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E7C07" w:rsidRDefault="003E7C07" w:rsidP="002108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Претендент обязуется:</w:t>
      </w:r>
    </w:p>
    <w:p w:rsidR="002108B2" w:rsidRDefault="002108B2" w:rsidP="002108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Соблюдать условия продажи, проводимой в электронной форме, содержащиеся в информационном сообщении о проведении продажи, размещенном на сайте организатора торгов, продавца – Администрации муниципального образования «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(http://mo-krasno.ru/), официальном сайте Российской Федерации в сети «Интернет» для размещения информации о проведении торгов (www.torgi.gov.ru),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2108B2" w:rsidRPr="002108B2" w:rsidRDefault="002108B2" w:rsidP="002108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заключить с Продавцом договор купли-продажи не позднее пяти рабочих дней со дня подведения итогов продажи в соответствии с порядком и требованиями, установленными в информационном сообщении и договоре купли-продажи.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продажи, в сроки и на счет, установленные договором купли-продажи.</w:t>
      </w:r>
    </w:p>
    <w:p w:rsidR="002108B2" w:rsidRPr="002108B2" w:rsidRDefault="006C0EF5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достоверность представленных документов и информации несет Претендент.</w:t>
      </w:r>
    </w:p>
    <w:p w:rsidR="002108B2" w:rsidRPr="002108B2" w:rsidRDefault="006C0EF5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Претендент подтверждает, что соответствует требованиям, установленным </w:t>
      </w:r>
      <w:hyperlink r:id="rId14" w:history="1">
        <w:r w:rsidR="002108B2"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</w:t>
        </w:r>
      </w:hyperlink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21 декабря 2001 года №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178-ФЗ "О приватизации государственного и муниципального имущества" (далее - Закон), и не является: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25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Закона;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продажи, информационным сообщением и проектом договора купли-продажи.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соответствии с Федеральным </w:t>
      </w:r>
      <w:hyperlink r:id="rId16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данных",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   _______________ (______________________)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"__" ___________ 20__ г.</w:t>
      </w:r>
    </w:p>
    <w:p w:rsidR="00E308EC" w:rsidRPr="00E308EC" w:rsidRDefault="002108B2" w:rsidP="00525E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М.П. (при наличии</w:t>
      </w:r>
      <w:r w:rsidR="00E308EC"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E308EC" w:rsidRPr="00E308EC" w:rsidRDefault="00E308EC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6D17A5" w:rsidRDefault="006D17A5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308EC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</w:t>
      </w:r>
      <w:r w:rsidR="00FB5F34">
        <w:rPr>
          <w:rFonts w:ascii="Times New Roman" w:eastAsia="Times New Roman" w:hAnsi="Times New Roman" w:cs="Times New Roman"/>
          <w:lang w:eastAsia="ru-RU"/>
        </w:rPr>
        <w:t>2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>Клабукова Дмитрия Сергеевича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</w:t>
      </w:r>
      <w:r w:rsidR="006D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настоящий договор о нижеследующем: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525EEC" w:rsidRPr="00525EEC" w:rsidRDefault="00525EEC" w:rsidP="00525E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525EEC" w:rsidRPr="00525EEC" w:rsidRDefault="00525EEC" w:rsidP="00525E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Красногорское, ул. Лесная, д.8 «А» (далее по тексту - имущество).</w:t>
      </w:r>
    </w:p>
    <w:p w:rsidR="00525EEC" w:rsidRPr="00525EEC" w:rsidRDefault="00525EEC" w:rsidP="00525E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18:15:052032:77-18/058/2022-2 от 25.02.2022  г.</w:t>
      </w:r>
    </w:p>
    <w:p w:rsidR="00525EEC" w:rsidRPr="00525EEC" w:rsidRDefault="00525EEC" w:rsidP="00525E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:rsidR="00FB5F34" w:rsidRDefault="00FB5F3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рублей, без учета НДС, в том числе: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уплатить Продавцу ___________________рублей, которые вносятся в течение 10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заключения договора по следующим реквизитам: </w:t>
      </w:r>
    </w:p>
    <w:p w:rsidR="00A4592F" w:rsidRPr="000E681F" w:rsidRDefault="00A4592F" w:rsidP="00A4592F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0E681F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Получатель: УФК по Удмуртской Республик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е (Администрация муниципального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образования  Красногорский  район , лицевой счет 04133D08750)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A4592F" w:rsidRDefault="00A4592F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561" w:rsidRDefault="00525EEC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6D2561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561"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A4592F" w:rsidRPr="00A4592F" w:rsidRDefault="00A4592F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 или индивидуальный предприниматель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4592F" w:rsidRDefault="00A4592F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561" w:rsidRPr="006D2561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 НДС (для физических лиц):</w:t>
      </w:r>
    </w:p>
    <w:p w:rsid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 л/с 05526D08751)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6D2561" w:rsidRPr="006D2561" w:rsidRDefault="006D2561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назначении платежа указать: НДС.</w:t>
      </w:r>
    </w:p>
    <w:p w:rsidR="006D2561" w:rsidRPr="006D2561" w:rsidRDefault="00525EEC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6D2561" w:rsidRPr="006D256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подтверждает, что: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муниципальное имущество, продаваемое по настоящему Договору;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муниципального имущества каких-либо подобных прав;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будет передано Продавцом Покупателю со всеми удостоверяемыми ими правами;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муниципальное имущество к Покупателю не совершит действий по отчуждению, обременению и передаче его во владение (управление) третьих лиц.</w:t>
      </w:r>
    </w:p>
    <w:p w:rsidR="00E95428" w:rsidRPr="00E95428" w:rsidRDefault="00E95428" w:rsidP="00E954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Право собственности на муниципальное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E308EC" w:rsidRPr="00E308EC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После получения окончательного платежа, Продавец в тот же день представляет Покупателю акт приема - передачи.</w:t>
      </w:r>
    </w:p>
    <w:p w:rsidR="00E308EC" w:rsidRPr="00E308EC" w:rsidRDefault="00E95428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E95428" w:rsidRPr="006D2561" w:rsidRDefault="00E308EC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5. ПРОЧИЕ УСЛОВИЯ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Настоящий договор составлен в </w:t>
      </w:r>
      <w:r w:rsidR="006D25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экземплярах, 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A4592F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E95428" w:rsidRDefault="00E95428" w:rsidP="00E9542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A4592F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ул.Ленина,д.64,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тел.8341-64-21600, ИНН </w:t>
      </w:r>
      <w:r w:rsidR="00A4592F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1837020967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A4592F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183701001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E308EC" w:rsidRPr="00E308EC" w:rsidTr="00A4592F">
        <w:trPr>
          <w:trHeight w:val="19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A4592F" w:rsidP="00A459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Клабуков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EC" w:rsidRPr="00E308EC" w:rsidRDefault="00E308EC" w:rsidP="00E308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561" w:rsidRPr="00E308EC" w:rsidRDefault="006D2561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6D256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</w:t>
      </w:r>
      <w:r w:rsidR="00A4592F">
        <w:rPr>
          <w:rFonts w:ascii="Times New Roman" w:eastAsia="Lucida Sans Unicode" w:hAnsi="Times New Roman" w:cs="Times New Roman"/>
          <w:b/>
          <w:bCs/>
          <w:sz w:val="24"/>
          <w:szCs w:val="24"/>
        </w:rPr>
        <w:t>2</w:t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г.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308EC" w:rsidRPr="00E308EC" w:rsidRDefault="00787C50" w:rsidP="00E308E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Клабукова Дмитрия Сергеевича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08EC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14064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140641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B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имущества 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объявления цены 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_________202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договора купли-продажи от ____ №____,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</w:t>
      </w:r>
      <w:r w:rsidR="00E308EC" w:rsidRPr="00E308EC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E308EC" w:rsidRPr="00E308EC" w:rsidRDefault="00E308EC" w:rsidP="00E308E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525EEC" w:rsidRPr="00525EEC" w:rsidRDefault="00525EEC" w:rsidP="00525E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Красногорское, ул. Лесная, д.8 «А» (далее по тексту - имущество).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2" w:name="_GoBack"/>
      <w:bookmarkEnd w:id="2"/>
      <w:r w:rsidRPr="00E308EC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</w:t>
      </w:r>
      <w:r w:rsidR="00787C50"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года № __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</w:t>
      </w:r>
      <w:r w:rsidR="006D2561">
        <w:rPr>
          <w:rFonts w:ascii="Times New Roman" w:eastAsia="Lucida Sans Unicode" w:hAnsi="Times New Roman" w:cs="Times New Roman"/>
          <w:sz w:val="24"/>
          <w:szCs w:val="24"/>
        </w:rPr>
        <w:t>двух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экземплярах,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787C50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E308EC" w:rsidRPr="00E308EC" w:rsidTr="00E308E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ул.Ленина,д.64,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A4592F" w:rsidRP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1837020967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КПП 183701001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Pr="00E308EC" w:rsidRDefault="00A4592F" w:rsidP="00A45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4592F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Клабуков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4592F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308EC" w:rsidRDefault="00E308EC"/>
    <w:sectPr w:rsidR="00E308EC" w:rsidSect="00DB1E1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CC" w:rsidRDefault="009215CC" w:rsidP="00683E5A">
      <w:pPr>
        <w:spacing w:after="0" w:line="240" w:lineRule="auto"/>
      </w:pPr>
      <w:r>
        <w:separator/>
      </w:r>
    </w:p>
  </w:endnote>
  <w:endnote w:type="continuationSeparator" w:id="0">
    <w:p w:rsidR="009215CC" w:rsidRDefault="009215CC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CC" w:rsidRDefault="009215CC" w:rsidP="00683E5A">
      <w:pPr>
        <w:spacing w:after="0" w:line="240" w:lineRule="auto"/>
      </w:pPr>
      <w:r>
        <w:separator/>
      </w:r>
    </w:p>
  </w:footnote>
  <w:footnote w:type="continuationSeparator" w:id="0">
    <w:p w:rsidR="009215CC" w:rsidRDefault="009215CC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2460F"/>
    <w:rsid w:val="00061F8E"/>
    <w:rsid w:val="00091F3B"/>
    <w:rsid w:val="00093D8A"/>
    <w:rsid w:val="000F6387"/>
    <w:rsid w:val="00140641"/>
    <w:rsid w:val="00153B76"/>
    <w:rsid w:val="001B6A67"/>
    <w:rsid w:val="001D73CA"/>
    <w:rsid w:val="001F29EC"/>
    <w:rsid w:val="002108B2"/>
    <w:rsid w:val="002A6A7A"/>
    <w:rsid w:val="002D7149"/>
    <w:rsid w:val="002F118B"/>
    <w:rsid w:val="002F5D45"/>
    <w:rsid w:val="00303490"/>
    <w:rsid w:val="00335396"/>
    <w:rsid w:val="00374176"/>
    <w:rsid w:val="00383A02"/>
    <w:rsid w:val="00395C0E"/>
    <w:rsid w:val="0039707A"/>
    <w:rsid w:val="003D659C"/>
    <w:rsid w:val="003E7C07"/>
    <w:rsid w:val="0042683F"/>
    <w:rsid w:val="00485F46"/>
    <w:rsid w:val="00496474"/>
    <w:rsid w:val="004F5FC7"/>
    <w:rsid w:val="00525EEC"/>
    <w:rsid w:val="0052736F"/>
    <w:rsid w:val="0054795D"/>
    <w:rsid w:val="00654493"/>
    <w:rsid w:val="00673DDD"/>
    <w:rsid w:val="00675FF8"/>
    <w:rsid w:val="00683E5A"/>
    <w:rsid w:val="00685B09"/>
    <w:rsid w:val="0068720E"/>
    <w:rsid w:val="0069707E"/>
    <w:rsid w:val="006C0EF5"/>
    <w:rsid w:val="006D17A5"/>
    <w:rsid w:val="006D2561"/>
    <w:rsid w:val="00713FF7"/>
    <w:rsid w:val="00787C50"/>
    <w:rsid w:val="007A4790"/>
    <w:rsid w:val="007C47D2"/>
    <w:rsid w:val="007D2075"/>
    <w:rsid w:val="007D7DB9"/>
    <w:rsid w:val="0082381C"/>
    <w:rsid w:val="00844C99"/>
    <w:rsid w:val="00845384"/>
    <w:rsid w:val="008C151D"/>
    <w:rsid w:val="008E124D"/>
    <w:rsid w:val="008F525C"/>
    <w:rsid w:val="00915F31"/>
    <w:rsid w:val="009215CC"/>
    <w:rsid w:val="0092383F"/>
    <w:rsid w:val="009411E2"/>
    <w:rsid w:val="00A45390"/>
    <w:rsid w:val="00A4592F"/>
    <w:rsid w:val="00A54FD2"/>
    <w:rsid w:val="00A936C8"/>
    <w:rsid w:val="00A95A5B"/>
    <w:rsid w:val="00AB0BA5"/>
    <w:rsid w:val="00B044E3"/>
    <w:rsid w:val="00B353B5"/>
    <w:rsid w:val="00DB1E18"/>
    <w:rsid w:val="00DE4009"/>
    <w:rsid w:val="00E200B8"/>
    <w:rsid w:val="00E308EC"/>
    <w:rsid w:val="00E374A5"/>
    <w:rsid w:val="00E52F37"/>
    <w:rsid w:val="00E6401C"/>
    <w:rsid w:val="00E95428"/>
    <w:rsid w:val="00EA193B"/>
    <w:rsid w:val="00EF5110"/>
    <w:rsid w:val="00F0318F"/>
    <w:rsid w:val="00F236C9"/>
    <w:rsid w:val="00F301A5"/>
    <w:rsid w:val="00F44FD6"/>
    <w:rsid w:val="00F67E3B"/>
    <w:rsid w:val="00FB5F34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0692"/>
  <w15:docId w15:val="{C0D780A9-E4AE-4051-AC89-7D1292E4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CDA4FA887306F70F33AF754D5A27888D974AC878B006D74EC931AC714CD284E5DE3029wAW0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8EB9BBC46AC6B01A944807F4BA78AF2F2562BEE90637237C4AB1F185FB2591328B98F1B466B68D1864649980KCdB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78EB9BBC46AC6B01A944807F4BA78AF2E2F65B2EE0737237C4AB1F185FB2591208BC0F8B161A3D94E3E339480C0A21F70A580C683K2dAJ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consultantplus://offline/ref=478EB9BBC46AC6B01A944807F4BA78AF2E2F65B2EE0737237C4AB1F185FB2591208BC0FDB564A88E187132C8C597B11E75A582C19C214BCFK5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12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21</cp:revision>
  <cp:lastPrinted>2021-09-20T06:28:00Z</cp:lastPrinted>
  <dcterms:created xsi:type="dcterms:W3CDTF">2020-08-25T11:58:00Z</dcterms:created>
  <dcterms:modified xsi:type="dcterms:W3CDTF">2022-06-23T08:38:00Z</dcterms:modified>
</cp:coreProperties>
</file>