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9E1CBC" w:rsidP="009E1CBC">
      <w:pPr>
        <w:ind w:left="11199"/>
      </w:pPr>
      <w:r>
        <w:t>Приложение 3</w:t>
      </w:r>
    </w:p>
    <w:p w:rsidR="009E1CBC" w:rsidRDefault="009E1CBC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9E1CBC" w:rsidRDefault="009E1CBC" w:rsidP="009E1CBC"/>
    <w:p w:rsidR="009E1CBC" w:rsidRDefault="009E1CBC" w:rsidP="009E1CBC">
      <w:pPr>
        <w:jc w:val="center"/>
        <w:rPr>
          <w:b/>
        </w:rPr>
      </w:pPr>
      <w:r>
        <w:rPr>
          <w:b/>
        </w:rPr>
        <w:t xml:space="preserve">Формы ежеквартальных и </w:t>
      </w:r>
      <w:proofErr w:type="gramStart"/>
      <w:r>
        <w:rPr>
          <w:b/>
        </w:rPr>
        <w:t>годового</w:t>
      </w:r>
      <w:proofErr w:type="gramEnd"/>
      <w:r>
        <w:rPr>
          <w:b/>
        </w:rPr>
        <w:t xml:space="preserve"> отчетов о реализации муниципальной программы</w:t>
      </w:r>
    </w:p>
    <w:p w:rsidR="009E1CBC" w:rsidRDefault="009E1CBC" w:rsidP="009E1CBC"/>
    <w:p w:rsidR="009E1CBC" w:rsidRPr="008D50C8" w:rsidRDefault="009E1CBC" w:rsidP="008D50C8">
      <w:pPr>
        <w:rPr>
          <w:bCs/>
        </w:rPr>
      </w:pPr>
      <w:r>
        <w:rPr>
          <w:b/>
        </w:rPr>
        <w:t>Форма 1.</w:t>
      </w:r>
      <w:r>
        <w:t xml:space="preserve"> </w:t>
      </w:r>
      <w:hyperlink r:id="rId6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</w:t>
      </w:r>
      <w:r w:rsidR="008D50C8">
        <w:t xml:space="preserve"> « </w:t>
      </w:r>
      <w:r w:rsidR="008D50C8" w:rsidRPr="008D50C8">
        <w:rPr>
          <w:bCs/>
        </w:rPr>
        <w:t>Повышение безопасности дорожн</w:t>
      </w:r>
      <w:r w:rsidR="008D50C8">
        <w:rPr>
          <w:bCs/>
        </w:rPr>
        <w:t xml:space="preserve">ого движения на территории  </w:t>
      </w:r>
      <w:r w:rsidR="008D50C8" w:rsidRPr="008D50C8">
        <w:rPr>
          <w:bCs/>
        </w:rPr>
        <w:t>Красногорского района на 2017 - 2022 годы»</w:t>
      </w:r>
      <w:r w:rsidR="008D50C8" w:rsidRPr="008D50C8">
        <w:rPr>
          <w:bCs/>
        </w:rPr>
        <w:br/>
      </w:r>
      <w:r>
        <w:t xml:space="preserve"> </w:t>
      </w:r>
    </w:p>
    <w:p w:rsidR="009E1CBC" w:rsidRDefault="009E1CBC" w:rsidP="009E1CBC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9E1CBC" w:rsidTr="009E1CBC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9E1CBC">
        <w:trPr>
          <w:trHeight w:val="620"/>
          <w:tblHeader/>
        </w:trPr>
        <w:tc>
          <w:tcPr>
            <w:tcW w:w="34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9E1CBC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65787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6CB2" w:rsidRPr="00316CB2" w:rsidRDefault="00316CB2" w:rsidP="00316CB2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316CB2">
              <w:rPr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886817" w:rsidP="00316CB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Красногорского района на 2017 - 2022</w:t>
            </w:r>
            <w:r w:rsidR="00316CB2" w:rsidRPr="00316CB2">
              <w:rPr>
                <w:bCs/>
                <w:color w:val="000000"/>
                <w:sz w:val="18"/>
                <w:szCs w:val="18"/>
              </w:rPr>
              <w:t xml:space="preserve"> годы»</w:t>
            </w:r>
            <w:r w:rsidR="00316CB2" w:rsidRPr="00316CB2">
              <w:rPr>
                <w:bCs/>
                <w:color w:val="000000"/>
                <w:sz w:val="18"/>
                <w:szCs w:val="18"/>
              </w:rPr>
              <w:br/>
            </w:r>
            <w:r w:rsidR="009E1CB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B2" w:rsidRPr="00316CB2" w:rsidRDefault="00316CB2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16CB2" w:rsidRPr="00316CB2" w:rsidRDefault="00316CB2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6CB2">
              <w:rPr>
                <w:color w:val="000000"/>
                <w:sz w:val="18"/>
                <w:szCs w:val="18"/>
              </w:rPr>
              <w:t>БУЗ УР «</w:t>
            </w:r>
            <w:proofErr w:type="spellStart"/>
            <w:r w:rsidRPr="00316CB2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316CB2">
              <w:rPr>
                <w:color w:val="000000"/>
                <w:sz w:val="18"/>
                <w:szCs w:val="18"/>
              </w:rPr>
              <w:t xml:space="preserve">  РБ МЗ УР»;</w:t>
            </w:r>
          </w:p>
          <w:p w:rsidR="00316CB2" w:rsidRPr="00316CB2" w:rsidRDefault="00316CB2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16CB2" w:rsidRPr="00316CB2" w:rsidRDefault="00316CB2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E1CBC" w:rsidRDefault="009E1CBC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886817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886817">
              <w:rPr>
                <w:sz w:val="18"/>
                <w:szCs w:val="18"/>
              </w:rPr>
              <w:t> </w:t>
            </w:r>
            <w:r w:rsidR="00886817" w:rsidRPr="0088681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868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886817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соисполнитель 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886817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88681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соисполнитель …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886817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88681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886817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88681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9ED" w:rsidRPr="00316CB2" w:rsidRDefault="009E1CBC" w:rsidP="005149ED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149ED" w:rsidRPr="00316CB2">
              <w:rPr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5149ED" w:rsidP="005149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6CB2">
              <w:rPr>
                <w:bCs/>
                <w:color w:val="000000"/>
                <w:sz w:val="18"/>
                <w:szCs w:val="18"/>
              </w:rPr>
              <w:t xml:space="preserve"> Красногорского района на 2014 - </w:t>
            </w:r>
            <w:r w:rsidRPr="00316CB2">
              <w:rPr>
                <w:bCs/>
                <w:color w:val="000000"/>
                <w:sz w:val="18"/>
                <w:szCs w:val="18"/>
              </w:rPr>
              <w:lastRenderedPageBreak/>
              <w:t>2016 годы»</w:t>
            </w:r>
            <w:r w:rsidRPr="00316CB2">
              <w:rPr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886817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88681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522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6CB2">
              <w:rPr>
                <w:color w:val="000000"/>
                <w:sz w:val="18"/>
                <w:szCs w:val="18"/>
              </w:rPr>
              <w:t>Отдел народного обр</w:t>
            </w:r>
            <w:r>
              <w:rPr>
                <w:color w:val="000000"/>
                <w:sz w:val="18"/>
                <w:szCs w:val="18"/>
              </w:rPr>
              <w:t>азования Красногорского района;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886817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886817">
              <w:rPr>
                <w:sz w:val="18"/>
                <w:szCs w:val="18"/>
              </w:rPr>
              <w:t> </w:t>
            </w:r>
            <w:r w:rsidR="00886817" w:rsidRPr="0088681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 w:rsidP="006B67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91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 w:rsidP="008868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868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886817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 w:rsidP="005149E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соисполнитель 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соисполнитель …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ED" w:rsidRPr="00316CB2" w:rsidRDefault="009E1CBC" w:rsidP="005149ED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149ED" w:rsidRPr="00316CB2">
              <w:rPr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5149ED" w:rsidP="005149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6CB2">
              <w:rPr>
                <w:bCs/>
                <w:color w:val="000000"/>
                <w:sz w:val="18"/>
                <w:szCs w:val="18"/>
              </w:rPr>
              <w:t xml:space="preserve"> Красногорского района на 2014 - 2016 годы»</w:t>
            </w:r>
            <w:r w:rsidRPr="00316CB2">
              <w:rPr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4C206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C2065">
              <w:rPr>
                <w:color w:val="000000"/>
                <w:sz w:val="18"/>
                <w:szCs w:val="18"/>
              </w:rPr>
              <w:t>Администрация МО «Красногорский район»;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 w:rsidP="008868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86817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 w:rsidP="008868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86817">
              <w:rPr>
                <w:color w:val="000000"/>
                <w:sz w:val="18"/>
                <w:szCs w:val="18"/>
              </w:rPr>
              <w:t>146,4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886817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9ED" w:rsidRPr="00316CB2" w:rsidRDefault="009E1CBC" w:rsidP="005149ED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149ED" w:rsidRPr="00316CB2">
              <w:rPr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5149ED" w:rsidP="005149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6CB2">
              <w:rPr>
                <w:bCs/>
                <w:color w:val="000000"/>
                <w:sz w:val="18"/>
                <w:szCs w:val="18"/>
              </w:rPr>
              <w:t xml:space="preserve"> Красногорского района на 2014 - 2016 годы»</w:t>
            </w:r>
            <w:r w:rsidRPr="00316CB2">
              <w:rPr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A576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57617">
              <w:rPr>
                <w:color w:val="000000"/>
                <w:sz w:val="18"/>
                <w:szCs w:val="18"/>
              </w:rPr>
              <w:t>ОГИБДД ОВД по Красногорскому району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C20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C20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5914D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9ED" w:rsidRPr="005149ED" w:rsidRDefault="005149ED" w:rsidP="005149ED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5149ED">
              <w:rPr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5149ED" w:rsidP="005149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149ED">
              <w:rPr>
                <w:bCs/>
                <w:color w:val="000000"/>
                <w:sz w:val="18"/>
                <w:szCs w:val="18"/>
              </w:rPr>
              <w:t xml:space="preserve"> Красногорского района на 2014 - 2016 годы»</w:t>
            </w:r>
            <w:r w:rsidRPr="005149ED">
              <w:rPr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522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6CB2">
              <w:rPr>
                <w:color w:val="000000"/>
                <w:sz w:val="18"/>
                <w:szCs w:val="18"/>
              </w:rPr>
              <w:t>Сектор по делам ГО и ЧС, охране труда и ТБ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C20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C20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5914D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соисполнитель 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соисполнитель …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 w:rsidP="00A576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6174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  <w:gridCol w:w="1417"/>
      </w:tblGrid>
      <w:tr w:rsidR="009E1CBC" w:rsidTr="00657870">
        <w:trPr>
          <w:gridAfter w:val="1"/>
          <w:wAfter w:w="1417" w:type="dxa"/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Tr="00657870">
        <w:trPr>
          <w:gridAfter w:val="1"/>
          <w:wAfter w:w="1417" w:type="dxa"/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657870">
        <w:trPr>
          <w:gridAfter w:val="1"/>
          <w:wAfter w:w="1417" w:type="dxa"/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657870">
        <w:trPr>
          <w:gridAfter w:val="1"/>
          <w:wAfter w:w="1417" w:type="dxa"/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65787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49ED" w:rsidRPr="005149ED" w:rsidRDefault="005149ED" w:rsidP="005149ED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5149ED">
              <w:rPr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886817" w:rsidP="005149E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Красногорского района на 2017 - 2022</w:t>
            </w:r>
            <w:r w:rsidR="005149ED">
              <w:rPr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657870" w:rsidP="006578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657870" w:rsidP="006578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657870" w:rsidP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9E1CBC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657870" w:rsidP="006578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657870" w:rsidP="006578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657870" w:rsidP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657870" w:rsidTr="0065787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 w:rsidP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657870" w:rsidRDefault="00657870" w:rsidP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 w:rsidP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657870" w:rsidRDefault="00657870" w:rsidP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57870" w:rsidRDefault="0065787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57870" w:rsidRDefault="0065787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57870" w:rsidRDefault="0065787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57870" w:rsidRDefault="0065787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7870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870" w:rsidRDefault="006578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870" w:rsidRDefault="0065787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7870" w:rsidRDefault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7870" w:rsidRDefault="0065787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:rsidR="009E1CBC" w:rsidRDefault="009E1CBC" w:rsidP="009E1CBC"/>
    <w:tbl>
      <w:tblPr>
        <w:tblW w:w="14709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080"/>
        <w:gridCol w:w="2080"/>
      </w:tblGrid>
      <w:tr w:rsidR="009E1CBC" w:rsidTr="000706C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6424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программы,                                                основного мероприятия,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0706C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656" w:rsidRPr="007A0656" w:rsidRDefault="007A0656" w:rsidP="007A065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A0656">
              <w:rPr>
                <w:b/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886817" w:rsidP="007A065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Красногорского района на 2017 - 2022</w:t>
            </w:r>
            <w:r w:rsidR="007A0656" w:rsidRPr="007A0656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  <w:r w:rsidR="007A0656" w:rsidRPr="007A0656">
              <w:rPr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8D50C8" w:rsidRDefault="000A7A3B" w:rsidP="000706C0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0A7A3B" w:rsidRPr="008D50C8" w:rsidRDefault="000A7A3B" w:rsidP="000706C0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Использование совместно с ГИБДД базы данных на водителей, систематически нарушающих ПДД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Pr="000706C0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0706C0">
              <w:rPr>
                <w:b/>
                <w:i/>
                <w:color w:val="000000"/>
                <w:sz w:val="18"/>
                <w:szCs w:val="18"/>
              </w:rPr>
              <w:t>Отдел народного образования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Администрации МО «Красногорский район»</w:t>
            </w:r>
          </w:p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Pr="000A7A3B" w:rsidRDefault="000A7A3B" w:rsidP="000A7A3B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0A7A3B">
              <w:rPr>
                <w:b/>
                <w:i/>
                <w:color w:val="000000"/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Формирование законопослушного поведения участников дорожного движения</w:t>
            </w:r>
          </w:p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Предотвращение приемки на работу водителей – потенциальных нарушителей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57870">
              <w:rPr>
                <w:color w:val="000000"/>
                <w:sz w:val="18"/>
                <w:szCs w:val="18"/>
              </w:rPr>
              <w:t xml:space="preserve">При приемке на работу водителей автобусов РОНО  используется база данных ОГИБДД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Развитие целевой системы воспитания и обучения детей безопасному поведению на улицах и дорогах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657870" w:rsidP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2017 г. во всех общеобра</w:t>
            </w:r>
            <w:r w:rsidR="004A71C8">
              <w:rPr>
                <w:color w:val="000000"/>
                <w:sz w:val="18"/>
                <w:szCs w:val="18"/>
              </w:rPr>
              <w:t>зовательных учреждениях проводил</w:t>
            </w:r>
            <w:r>
              <w:rPr>
                <w:color w:val="000000"/>
                <w:sz w:val="18"/>
                <w:szCs w:val="18"/>
              </w:rPr>
              <w:t>ся «Месячник безопасности на дорогах». Во всех учреждениях проводились уроки, классные часы по безопасному поведению на дорогах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Распространение научно-методических материалов, программ, учебных пособий для общеобразовательных учреждений.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Профилактика детского дорожно-транспортного травматизма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4A71C8" w:rsidP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проводилось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A71C8">
              <w:rPr>
                <w:color w:val="000000"/>
                <w:sz w:val="18"/>
                <w:szCs w:val="18"/>
              </w:rPr>
              <w:t>Отсутствие финансирования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Проведение акций «Внимание дети!», </w:t>
            </w:r>
            <w:r w:rsidRPr="008D50C8">
              <w:rPr>
                <w:sz w:val="18"/>
                <w:szCs w:val="18"/>
              </w:rPr>
              <w:lastRenderedPageBreak/>
              <w:t>«Внимание – пешеход!», «Зебра»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0706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 раза в год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 xml:space="preserve">Профилактика детского дорожно-транспортного </w:t>
            </w:r>
            <w:r w:rsidRPr="000706C0">
              <w:rPr>
                <w:color w:val="000000"/>
                <w:sz w:val="18"/>
                <w:szCs w:val="18"/>
              </w:rPr>
              <w:lastRenderedPageBreak/>
              <w:t>травматизма.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="004A71C8">
              <w:rPr>
                <w:color w:val="000000"/>
                <w:sz w:val="18"/>
                <w:szCs w:val="18"/>
              </w:rPr>
              <w:t xml:space="preserve">Во всех школах в </w:t>
            </w:r>
            <w:r w:rsidR="00AB69B4">
              <w:rPr>
                <w:color w:val="000000"/>
                <w:sz w:val="18"/>
                <w:szCs w:val="18"/>
              </w:rPr>
              <w:t xml:space="preserve">сентябре проведен </w:t>
            </w:r>
            <w:r w:rsidR="00AB69B4">
              <w:rPr>
                <w:color w:val="000000"/>
                <w:sz w:val="18"/>
                <w:szCs w:val="18"/>
              </w:rPr>
              <w:lastRenderedPageBreak/>
              <w:t>месячник «Внимание дети!». Акции «Внимание пешеход», «Зебра» проводятся систематически в рабочем порядке</w:t>
            </w:r>
            <w:r w:rsidR="004A71C8">
              <w:rPr>
                <w:color w:val="000000"/>
                <w:sz w:val="18"/>
                <w:szCs w:val="18"/>
              </w:rPr>
              <w:t xml:space="preserve"> на классных часах</w:t>
            </w:r>
            <w:r w:rsidR="00AB69B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Распространение </w:t>
            </w:r>
            <w:proofErr w:type="spellStart"/>
            <w:r w:rsidRPr="008D50C8">
              <w:rPr>
                <w:sz w:val="18"/>
                <w:szCs w:val="18"/>
              </w:rPr>
              <w:t>световозвращающих</w:t>
            </w:r>
            <w:proofErr w:type="spellEnd"/>
            <w:r w:rsidRPr="008D50C8">
              <w:rPr>
                <w:sz w:val="18"/>
                <w:szCs w:val="18"/>
              </w:rPr>
              <w:t xml:space="preserve"> элементов для учащихся младших классов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Профилактика детского дорожно-транспортного травматизма.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A71C8">
              <w:rPr>
                <w:sz w:val="18"/>
                <w:szCs w:val="18"/>
              </w:rPr>
              <w:t xml:space="preserve">в 2017 г. </w:t>
            </w:r>
            <w:proofErr w:type="spellStart"/>
            <w:r w:rsidRPr="004A71C8">
              <w:rPr>
                <w:sz w:val="18"/>
                <w:szCs w:val="18"/>
              </w:rPr>
              <w:t>световозвращательные</w:t>
            </w:r>
            <w:proofErr w:type="spellEnd"/>
            <w:r w:rsidRPr="004A71C8">
              <w:rPr>
                <w:sz w:val="18"/>
                <w:szCs w:val="18"/>
              </w:rPr>
              <w:t xml:space="preserve"> элементы среди детей не распространялись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Default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финансирования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Оснащение кабинетов БДД в школах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Формирование общественного мнения, 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Оснащение кабинетов по БДД в школах района не проводилось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Default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финансирования</w:t>
            </w:r>
          </w:p>
        </w:tc>
      </w:tr>
      <w:tr w:rsidR="000A7A3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Работа кружка «Юный инспектор движения»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Профилактика детского дорожно-транспортного травматизма. Обучение правилам дорожного движения, правилам поведения на дорогах.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Работа кружков не проводилась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Default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преподавателей.</w:t>
            </w:r>
          </w:p>
        </w:tc>
      </w:tr>
      <w:tr w:rsidR="000A7A3B" w:rsidTr="009D628F">
        <w:trPr>
          <w:trHeight w:val="197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9D628F" w:rsidRDefault="000A7A3B" w:rsidP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A7A3B" w:rsidRPr="008D50C8" w:rsidRDefault="000A7A3B" w:rsidP="009D628F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Конкурс социальной рекламы (конкурс плакатов)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 раза в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2 раза в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A7A3B" w:rsidRPr="009D628F" w:rsidRDefault="000A7A3B" w:rsidP="009D628F">
            <w:pPr>
              <w:rPr>
                <w:sz w:val="18"/>
                <w:szCs w:val="18"/>
              </w:rPr>
            </w:pPr>
            <w:r w:rsidRPr="000A7A3B">
              <w:rPr>
                <w:sz w:val="18"/>
                <w:szCs w:val="18"/>
              </w:rPr>
              <w:t>Обучение основам ПДД, социальной ответственности за нарушение ПДД у школьников.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D628F" w:rsidRDefault="004A71C8" w:rsidP="0059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рисунков по БДД проводился в период месячника «Внимание дети» во всех общеобразовательных учреждениях района</w:t>
            </w:r>
          </w:p>
          <w:p w:rsidR="000A7A3B" w:rsidRPr="009D628F" w:rsidRDefault="000A7A3B" w:rsidP="009D628F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A7A3B" w:rsidRPr="000706C0" w:rsidRDefault="000A7A3B" w:rsidP="005914DD">
            <w:pPr>
              <w:rPr>
                <w:sz w:val="18"/>
                <w:szCs w:val="18"/>
              </w:rPr>
            </w:pPr>
          </w:p>
        </w:tc>
      </w:tr>
      <w:tr w:rsidR="00ED2FD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8D50C8" w:rsidRDefault="00ED2FDB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Проведение </w:t>
            </w:r>
            <w:proofErr w:type="spellStart"/>
            <w:r w:rsidRPr="008D50C8">
              <w:rPr>
                <w:sz w:val="18"/>
                <w:szCs w:val="18"/>
              </w:rPr>
              <w:t>предрейсовых</w:t>
            </w:r>
            <w:proofErr w:type="spellEnd"/>
            <w:r w:rsidRPr="008D50C8">
              <w:rPr>
                <w:sz w:val="18"/>
                <w:szCs w:val="18"/>
              </w:rPr>
              <w:t xml:space="preserve">  и текущих медосмотров водителей ТС, осуществляющие перевозки школьников, медработниками, прошедшими подготовку, в соответствии с требованиями приказа МЗ РФ от 14.07.2003 № 308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ED2FDB" w:rsidRPr="000A7A3B" w:rsidRDefault="00ED2FDB" w:rsidP="00ED2FDB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A7A3B">
              <w:rPr>
                <w:b/>
                <w:color w:val="000000"/>
                <w:sz w:val="18"/>
                <w:szCs w:val="18"/>
              </w:rPr>
              <w:t>БУЗ УР «</w:t>
            </w:r>
            <w:proofErr w:type="spellStart"/>
            <w:r w:rsidRPr="000A7A3B">
              <w:rPr>
                <w:b/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0A7A3B">
              <w:rPr>
                <w:b/>
                <w:color w:val="000000"/>
                <w:sz w:val="18"/>
                <w:szCs w:val="18"/>
              </w:rPr>
              <w:t xml:space="preserve">  РБ МЗ УР»</w:t>
            </w: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Pr="00ED2FDB" w:rsidRDefault="00ED2FDB" w:rsidP="00ED2FDB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D2FDB">
              <w:rPr>
                <w:b/>
                <w:color w:val="000000"/>
                <w:sz w:val="18"/>
                <w:szCs w:val="18"/>
              </w:rPr>
              <w:t>БУЗ УР «</w:t>
            </w:r>
            <w:proofErr w:type="spellStart"/>
            <w:r w:rsidRPr="00ED2FDB">
              <w:rPr>
                <w:b/>
                <w:color w:val="000000"/>
                <w:sz w:val="18"/>
                <w:szCs w:val="18"/>
              </w:rPr>
              <w:t>Красногорская</w:t>
            </w:r>
            <w:proofErr w:type="spellEnd"/>
            <w:r w:rsidRPr="00ED2FDB">
              <w:rPr>
                <w:b/>
                <w:color w:val="000000"/>
                <w:sz w:val="18"/>
                <w:szCs w:val="18"/>
              </w:rPr>
              <w:t xml:space="preserve">  РБ МЗ УР»</w:t>
            </w: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Pr="000A7A3B" w:rsidRDefault="00ED2FDB" w:rsidP="00ED2FDB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lastRenderedPageBreak/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ED2FDB" w:rsidP="005914DD">
            <w:pPr>
              <w:rPr>
                <w:sz w:val="18"/>
                <w:szCs w:val="18"/>
              </w:rPr>
            </w:pPr>
            <w:proofErr w:type="gramStart"/>
            <w:r w:rsidRPr="00ED2FDB">
              <w:rPr>
                <w:sz w:val="18"/>
                <w:szCs w:val="18"/>
              </w:rPr>
              <w:t>Контроль за</w:t>
            </w:r>
            <w:proofErr w:type="gramEnd"/>
            <w:r w:rsidRPr="00ED2FDB">
              <w:rPr>
                <w:sz w:val="18"/>
                <w:szCs w:val="18"/>
              </w:rPr>
              <w:t xml:space="preserve"> состоянием водителей транспортных средств.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AB69B4" w:rsidP="00AB6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 водители, осуществляющие перевозки  школьников проходят </w:t>
            </w:r>
            <w:proofErr w:type="gramStart"/>
            <w:r>
              <w:rPr>
                <w:sz w:val="18"/>
                <w:szCs w:val="18"/>
              </w:rPr>
              <w:t>обязательный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предрейсовый</w:t>
            </w:r>
            <w:proofErr w:type="spellEnd"/>
            <w:r>
              <w:rPr>
                <w:sz w:val="18"/>
                <w:szCs w:val="18"/>
              </w:rPr>
              <w:t xml:space="preserve"> и плановые медосмотры в медицинском учреждении.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Default="00ED2F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2FD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8D50C8" w:rsidRDefault="00ED2FDB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Анализ структуры травматических повреждений по профилю и степени тяжести у различных категорий участников дорожного движения пострадавших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ED2FDB" w:rsidP="005914DD">
            <w:pPr>
              <w:rPr>
                <w:sz w:val="18"/>
                <w:szCs w:val="18"/>
              </w:rPr>
            </w:pPr>
            <w:r w:rsidRPr="00ED2FDB">
              <w:rPr>
                <w:sz w:val="18"/>
                <w:szCs w:val="18"/>
              </w:rPr>
              <w:t>Выработка новых технологий и методов оказания медицинской помощи лицам, пострадавшим в результате ДТП.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Default="004A71C8" w:rsidP="0059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проводится сотрудниками ОГИБДД</w:t>
            </w:r>
          </w:p>
          <w:p w:rsidR="004A71C8" w:rsidRPr="00ED2FDB" w:rsidRDefault="00CB6073" w:rsidP="0059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пострадавших в ДТП уменьшилось с 12 в 2016 г. до 3 в 2017 г. Соответственно количество мест концентрации ДТП с 6 до 2, количество пострадавших в ДТП детей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3 до 0.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Default="00ED2F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2FD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8D50C8" w:rsidRDefault="00ED2FDB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Апробация и внедрение стандартов и лечебных технологий оказания медицинской помощи лицам, пострадавшим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ED2FDB" w:rsidP="005914DD">
            <w:pPr>
              <w:rPr>
                <w:sz w:val="18"/>
                <w:szCs w:val="18"/>
              </w:rPr>
            </w:pPr>
            <w:r w:rsidRPr="00ED2FDB">
              <w:rPr>
                <w:sz w:val="18"/>
                <w:szCs w:val="18"/>
              </w:rPr>
              <w:t>Совершенствование методов оказания первой медицинской помощи.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ED2FDB" w:rsidP="005914DD">
            <w:pPr>
              <w:rPr>
                <w:sz w:val="18"/>
                <w:szCs w:val="18"/>
              </w:rPr>
            </w:pPr>
            <w:r w:rsidRPr="00ED2FDB">
              <w:rPr>
                <w:sz w:val="18"/>
                <w:szCs w:val="18"/>
              </w:rPr>
              <w:t>Совершенствование методов оказания первой медицинской помощи.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Default="00ED2F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2FD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8D50C8" w:rsidRDefault="00ED2FDB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Проведение бесед и лекций с учащимися школ и дошкольных учреждений по изучению и соблюдению ПДД с целью предупреждения детского дорожно-транспортного травматизма.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ED2FDB" w:rsidRDefault="00ED2FDB" w:rsidP="005914DD">
            <w:pPr>
              <w:rPr>
                <w:sz w:val="18"/>
                <w:szCs w:val="18"/>
              </w:rPr>
            </w:pPr>
            <w:r w:rsidRPr="00ED2FDB">
              <w:rPr>
                <w:sz w:val="18"/>
                <w:szCs w:val="18"/>
              </w:rPr>
              <w:t>Улучшение воспитательной и профилактической работы среди детей.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ED2FDB" w:rsidRDefault="009B5147" w:rsidP="009B5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Сотрудники РБ  приняли участие в 6 классных часах в общеобразовательных учреждениях района с беседами по профилактике детского травматизма на дорогах.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2FDB" w:rsidRDefault="00ED2F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948F6" w:rsidTr="005914DD">
        <w:trPr>
          <w:trHeight w:val="2457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8D50C8" w:rsidRDefault="003948F6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Определение и согласование зон ответственности поисково-спасательных подразделений при проведении спасательных работ на автодорогах Красногорского </w:t>
            </w:r>
            <w:proofErr w:type="spellStart"/>
            <w:r w:rsidRPr="008D50C8">
              <w:rPr>
                <w:sz w:val="18"/>
                <w:szCs w:val="18"/>
              </w:rPr>
              <w:t>района</w:t>
            </w:r>
            <w:proofErr w:type="gramStart"/>
            <w:r w:rsidRPr="008D50C8">
              <w:rPr>
                <w:sz w:val="18"/>
                <w:szCs w:val="18"/>
              </w:rPr>
              <w:t>.У</w:t>
            </w:r>
            <w:proofErr w:type="gramEnd"/>
            <w:r w:rsidRPr="008D50C8">
              <w:rPr>
                <w:sz w:val="18"/>
                <w:szCs w:val="18"/>
              </w:rPr>
              <w:t>точнение</w:t>
            </w:r>
            <w:proofErr w:type="spellEnd"/>
            <w:r w:rsidRPr="008D50C8">
              <w:rPr>
                <w:sz w:val="18"/>
                <w:szCs w:val="18"/>
              </w:rPr>
              <w:t xml:space="preserve"> зон по мере формирования новых поисково-спасательных подразделений.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948F6">
              <w:rPr>
                <w:b/>
                <w:color w:val="000000"/>
                <w:sz w:val="18"/>
                <w:szCs w:val="18"/>
              </w:rPr>
              <w:t>Сектор по делам ГО и ЧС Администрации Красногорского района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3948F6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3948F6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3948F6" w:rsidRDefault="003948F6" w:rsidP="005914DD">
            <w:pPr>
              <w:rPr>
                <w:sz w:val="18"/>
                <w:szCs w:val="18"/>
              </w:rPr>
            </w:pPr>
            <w:r w:rsidRPr="003948F6">
              <w:rPr>
                <w:sz w:val="18"/>
                <w:szCs w:val="18"/>
              </w:rPr>
              <w:t>Своевременность оказания первой медицинской помощи на месте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3948F6" w:rsidRDefault="009B5147" w:rsidP="0059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Зоны ответственности согласованы </w:t>
            </w:r>
            <w:proofErr w:type="gramStart"/>
            <w:r>
              <w:rPr>
                <w:sz w:val="18"/>
                <w:szCs w:val="18"/>
              </w:rPr>
              <w:t>согласно Плана</w:t>
            </w:r>
            <w:proofErr w:type="gramEnd"/>
            <w:r>
              <w:rPr>
                <w:sz w:val="18"/>
                <w:szCs w:val="18"/>
              </w:rPr>
              <w:t xml:space="preserve"> прикрытия автомобильных дорог ГУ МЧС России по УР.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65787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Разработка учебно-методических пособий по оказанию первой медицинской помощи для сотрудников поисково-спасательных подразделений участвующих в ликвидации ДТП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3948F6" w:rsidRDefault="009D628F" w:rsidP="005914DD">
            <w:pPr>
              <w:rPr>
                <w:sz w:val="18"/>
                <w:szCs w:val="18"/>
              </w:rPr>
            </w:pPr>
            <w:r w:rsidRPr="003948F6">
              <w:rPr>
                <w:sz w:val="18"/>
                <w:szCs w:val="18"/>
              </w:rPr>
              <w:t>законность проведения аварийно-спасательных работ, повышение качества медицинской подготовки спасателей, участвующих в ликвидации ДТП.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3948F6" w:rsidRDefault="009B5147" w:rsidP="0059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Применяется в работе учебное пособие: «Оказание первой помощи пострадавшим» - Москва, 2010 г.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Уточнение зон ответственности при </w:t>
            </w:r>
            <w:r w:rsidRPr="008D50C8">
              <w:rPr>
                <w:sz w:val="18"/>
                <w:szCs w:val="18"/>
              </w:rPr>
              <w:lastRenderedPageBreak/>
              <w:t>проведении спасательных работ на автомобильных дорогах Красногорского района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 w:rsidP="006578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 w:rsidP="006578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3948F6" w:rsidRDefault="009D628F" w:rsidP="005914DD">
            <w:pPr>
              <w:rPr>
                <w:sz w:val="18"/>
                <w:szCs w:val="18"/>
              </w:rPr>
            </w:pPr>
            <w:r w:rsidRPr="009D628F">
              <w:rPr>
                <w:sz w:val="18"/>
                <w:szCs w:val="18"/>
              </w:rPr>
              <w:t xml:space="preserve">Повышение уровня подготовки спасателей </w:t>
            </w:r>
            <w:r w:rsidRPr="009D628F">
              <w:rPr>
                <w:sz w:val="18"/>
                <w:szCs w:val="18"/>
              </w:rPr>
              <w:lastRenderedPageBreak/>
              <w:t>в области оказания первой медицинской помощи лицам, пострадавшим в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3948F6" w:rsidRDefault="009B5147" w:rsidP="009B5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 2018 г. проведено уточнение зон </w:t>
            </w:r>
            <w:r>
              <w:rPr>
                <w:sz w:val="18"/>
                <w:szCs w:val="18"/>
              </w:rPr>
              <w:lastRenderedPageBreak/>
              <w:t xml:space="preserve">ответственности </w:t>
            </w:r>
            <w:proofErr w:type="gramStart"/>
            <w:r>
              <w:rPr>
                <w:sz w:val="18"/>
                <w:szCs w:val="18"/>
              </w:rPr>
              <w:t>согласно Плана</w:t>
            </w:r>
            <w:proofErr w:type="gramEnd"/>
            <w:r>
              <w:rPr>
                <w:sz w:val="18"/>
                <w:szCs w:val="18"/>
              </w:rPr>
              <w:t xml:space="preserve"> прикрытия автомобильных дорог ГУ МЧС России по УР</w:t>
            </w:r>
            <w:r w:rsidR="009D628F" w:rsidRPr="009D6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на 2018 г.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948F6" w:rsidTr="00F47BBC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8D50C8" w:rsidRDefault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Проведение профилактических операций по повышению безопасности дорожного движения «Автобус», «Трактор», «Мотоцикл», «Пешеход» и др.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5914DD" w:rsidRDefault="005914DD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914DD">
              <w:rPr>
                <w:b/>
                <w:color w:val="000000"/>
                <w:sz w:val="18"/>
                <w:szCs w:val="18"/>
              </w:rPr>
              <w:t>ОГБДД ОВД по Красногорскому району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914DD">
              <w:rPr>
                <w:color w:val="000000"/>
                <w:sz w:val="18"/>
                <w:szCs w:val="18"/>
              </w:rPr>
              <w:t>Профилактика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9B514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Проведены профилактические операции «Бахус», «Трактор», «Автобус».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65417F">
        <w:trPr>
          <w:trHeight w:val="5133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EB0422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Проведение технической диагностики и оценки состояния автомобильных межпоселковых дорог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D628F" w:rsidRPr="00F47BBC" w:rsidRDefault="009D628F" w:rsidP="00EB042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47BBC">
              <w:rPr>
                <w:b/>
                <w:color w:val="000000"/>
                <w:sz w:val="18"/>
                <w:szCs w:val="18"/>
              </w:rPr>
              <w:t>Администрация МО «Красногорский район», Администрации  сельских поселений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 w:rsidRPr="009D628F">
              <w:rPr>
                <w:sz w:val="18"/>
                <w:szCs w:val="18"/>
              </w:rPr>
              <w:t>Контроль транспортно-эксплуатационных характеристик дорог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Default="009D628F" w:rsidP="00EB0422">
            <w:pPr>
              <w:rPr>
                <w:sz w:val="18"/>
                <w:szCs w:val="18"/>
              </w:rPr>
            </w:pPr>
          </w:p>
          <w:p w:rsidR="009D628F" w:rsidRDefault="009B5147" w:rsidP="009D6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Техническая диагностика дорог в 2017 г. не проводилась.</w:t>
            </w:r>
          </w:p>
          <w:p w:rsidR="0065417F" w:rsidRPr="0065417F" w:rsidRDefault="0065417F" w:rsidP="006541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Комиссией по обследованию школьных маршрутов проведено обследование всех дорог общего пользования в МО «Красногорский район» в весенний и осенний период. По результатам обследования все выявленные недостатки устранены.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Согласно</w:t>
            </w:r>
            <w:r w:rsidRPr="0065417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Постановления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Администрации МО «Красногорский район»</w:t>
            </w:r>
            <w:r w:rsidRPr="0065417F">
              <w:rPr>
                <w:color w:val="000000"/>
                <w:sz w:val="18"/>
                <w:szCs w:val="18"/>
              </w:rPr>
              <w:t xml:space="preserve">     от  01  сентября   2017 </w:t>
            </w:r>
            <w:r>
              <w:rPr>
                <w:color w:val="000000"/>
                <w:sz w:val="18"/>
                <w:szCs w:val="18"/>
              </w:rPr>
              <w:t xml:space="preserve">г.  </w:t>
            </w:r>
            <w:r w:rsidRPr="0065417F">
              <w:rPr>
                <w:color w:val="000000"/>
                <w:sz w:val="18"/>
                <w:szCs w:val="18"/>
              </w:rPr>
              <w:t xml:space="preserve">№  553  </w:t>
            </w:r>
            <w:r>
              <w:rPr>
                <w:color w:val="000000"/>
                <w:sz w:val="18"/>
                <w:szCs w:val="18"/>
              </w:rPr>
              <w:t>разрешено использование маршрутов движения школьных автобусов.</w:t>
            </w:r>
            <w:r w:rsidRPr="0065417F">
              <w:rPr>
                <w:color w:val="000000"/>
                <w:sz w:val="18"/>
                <w:szCs w:val="18"/>
              </w:rPr>
              <w:t xml:space="preserve">        </w:t>
            </w:r>
          </w:p>
          <w:p w:rsidR="009B5147" w:rsidRPr="009D628F" w:rsidRDefault="009B5147" w:rsidP="009D6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B514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5417F">
              <w:rPr>
                <w:b/>
                <w:color w:val="000000"/>
                <w:sz w:val="18"/>
                <w:szCs w:val="18"/>
              </w:rPr>
              <w:t>Отсутствие</w:t>
            </w:r>
            <w:r>
              <w:rPr>
                <w:color w:val="000000"/>
                <w:sz w:val="18"/>
                <w:szCs w:val="18"/>
              </w:rPr>
              <w:t xml:space="preserve"> финансирования</w:t>
            </w:r>
          </w:p>
        </w:tc>
      </w:tr>
      <w:tr w:rsidR="009D628F" w:rsidTr="00657870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9D628F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Разработка дислокации технических средств организации дорожного движения для дорог общего пользования местного значения Красногорского района</w:t>
            </w:r>
          </w:p>
          <w:p w:rsidR="009D628F" w:rsidRPr="008D50C8" w:rsidRDefault="009D628F" w:rsidP="00EB042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D628F" w:rsidRPr="005914DD" w:rsidRDefault="009D628F" w:rsidP="00EB042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 w:rsidRPr="009D628F">
              <w:rPr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422CF2" w:rsidP="00EB042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Разработана</w:t>
            </w:r>
            <w:proofErr w:type="gramEnd"/>
            <w:r>
              <w:rPr>
                <w:sz w:val="18"/>
                <w:szCs w:val="18"/>
              </w:rPr>
              <w:t xml:space="preserve"> и имеются дислокации дорожных знаков на все улицы с. Красногорское, а/дорогу Артык – </w:t>
            </w:r>
            <w:proofErr w:type="spellStart"/>
            <w:r>
              <w:rPr>
                <w:sz w:val="18"/>
                <w:szCs w:val="18"/>
              </w:rPr>
              <w:t>Мельниченки</w:t>
            </w:r>
            <w:proofErr w:type="spellEnd"/>
            <w:r>
              <w:rPr>
                <w:sz w:val="18"/>
                <w:szCs w:val="18"/>
              </w:rPr>
              <w:t xml:space="preserve"> и а/дорогу Бараны – </w:t>
            </w:r>
            <w:proofErr w:type="spellStart"/>
            <w:r>
              <w:rPr>
                <w:sz w:val="18"/>
                <w:szCs w:val="18"/>
              </w:rPr>
              <w:t>Вавилово</w:t>
            </w:r>
            <w:proofErr w:type="spellEnd"/>
            <w:r>
              <w:rPr>
                <w:sz w:val="18"/>
                <w:szCs w:val="18"/>
              </w:rPr>
              <w:t>, а также на</w:t>
            </w:r>
            <w:r w:rsidR="00595509">
              <w:rPr>
                <w:sz w:val="18"/>
                <w:szCs w:val="18"/>
              </w:rPr>
              <w:t xml:space="preserve"> все 26  школьных маршрутов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657870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EB0422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Приведение в нормативное состояние улично-дорожной сети поселений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D628F" w:rsidRPr="005914DD" w:rsidRDefault="009D628F" w:rsidP="00EB042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май-сентябрь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47BBC">
              <w:rPr>
                <w:sz w:val="18"/>
                <w:szCs w:val="18"/>
              </w:rPr>
              <w:t>овышение транспортно-эксплуатационных характеристик. Повышение уровня организации дорожного движения.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422CF2" w:rsidP="00EB0422">
            <w:pPr>
              <w:rPr>
                <w:sz w:val="18"/>
                <w:szCs w:val="18"/>
              </w:rPr>
            </w:pPr>
            <w:r w:rsidRPr="00422CF2">
              <w:rPr>
                <w:sz w:val="18"/>
                <w:szCs w:val="18"/>
              </w:rPr>
              <w:t>Проведена реконструкция 3,612 км</w:t>
            </w:r>
            <w:proofErr w:type="gramStart"/>
            <w:r w:rsidRPr="00422CF2">
              <w:rPr>
                <w:sz w:val="18"/>
                <w:szCs w:val="18"/>
              </w:rPr>
              <w:t>.</w:t>
            </w:r>
            <w:proofErr w:type="gramEnd"/>
            <w:r w:rsidRPr="00422CF2">
              <w:rPr>
                <w:sz w:val="18"/>
                <w:szCs w:val="18"/>
              </w:rPr>
              <w:t xml:space="preserve"> </w:t>
            </w:r>
            <w:proofErr w:type="gramStart"/>
            <w:r w:rsidRPr="00422CF2">
              <w:rPr>
                <w:sz w:val="18"/>
                <w:szCs w:val="18"/>
              </w:rPr>
              <w:t>д</w:t>
            </w:r>
            <w:proofErr w:type="gramEnd"/>
            <w:r w:rsidRPr="00422CF2">
              <w:rPr>
                <w:sz w:val="18"/>
                <w:szCs w:val="18"/>
              </w:rPr>
              <w:t>ороги Артык-</w:t>
            </w:r>
            <w:proofErr w:type="spellStart"/>
            <w:r w:rsidRPr="00422CF2">
              <w:rPr>
                <w:sz w:val="18"/>
                <w:szCs w:val="18"/>
              </w:rPr>
              <w:t>Мельниченки</w:t>
            </w:r>
            <w:proofErr w:type="spellEnd"/>
            <w:r w:rsidRPr="00422CF2">
              <w:rPr>
                <w:sz w:val="18"/>
                <w:szCs w:val="18"/>
              </w:rPr>
              <w:t xml:space="preserve"> и ремонт 2,279 км дорог общего пользования местного значения. </w:t>
            </w:r>
            <w:r>
              <w:rPr>
                <w:sz w:val="18"/>
                <w:szCs w:val="18"/>
              </w:rPr>
              <w:t>Общая протяженность ремонта</w:t>
            </w:r>
            <w:r w:rsidR="00595509">
              <w:rPr>
                <w:sz w:val="18"/>
                <w:szCs w:val="18"/>
              </w:rPr>
              <w:t xml:space="preserve"> </w:t>
            </w:r>
            <w:proofErr w:type="gramStart"/>
            <w:r w:rsidR="00595509">
              <w:rPr>
                <w:sz w:val="18"/>
                <w:szCs w:val="18"/>
              </w:rPr>
              <w:t>составила 5891 км</w:t>
            </w:r>
            <w:r>
              <w:rPr>
                <w:sz w:val="18"/>
                <w:szCs w:val="18"/>
              </w:rPr>
              <w:t xml:space="preserve"> </w:t>
            </w:r>
            <w:r w:rsidRPr="00422CF2">
              <w:rPr>
                <w:sz w:val="18"/>
                <w:szCs w:val="18"/>
              </w:rPr>
              <w:t>Протяженность дорог не отвечающим нормативным требованиям сократилась</w:t>
            </w:r>
            <w:proofErr w:type="gramEnd"/>
            <w:r w:rsidRPr="00422CF2">
              <w:rPr>
                <w:sz w:val="18"/>
                <w:szCs w:val="18"/>
              </w:rPr>
              <w:t xml:space="preserve"> с 81,5 % в 2016 г. до 78,8 % в 2017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EB0422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 w:rsidRPr="009D628F">
              <w:rPr>
                <w:sz w:val="18"/>
                <w:szCs w:val="18"/>
              </w:rPr>
              <w:t>Устройство средств организации дорожного движения (разметка дорожная, знаки, ограждения)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D628F" w:rsidRDefault="009D628F" w:rsidP="00EB042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Default="009D628F">
            <w:r w:rsidRPr="00564508">
              <w:rPr>
                <w:color w:val="000000"/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Default="009D628F">
            <w:r w:rsidRPr="00564508">
              <w:rPr>
                <w:color w:val="000000"/>
                <w:sz w:val="18"/>
                <w:szCs w:val="18"/>
              </w:rPr>
              <w:t>май-сентябрь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5509" w:rsidRPr="00EE0F94" w:rsidRDefault="00595509" w:rsidP="0059550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Установлено дополнительно 13  </w:t>
            </w:r>
            <w:proofErr w:type="gramStart"/>
            <w:r>
              <w:rPr>
                <w:color w:val="000000"/>
                <w:sz w:val="18"/>
                <w:szCs w:val="18"/>
              </w:rPr>
              <w:t>дорожных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знака. Восстановлена дорожная разметка на 9 пешеходных переходах и 4 искусственных неровностях.</w:t>
            </w:r>
          </w:p>
          <w:p w:rsidR="009D628F" w:rsidRPr="00F47BBC" w:rsidRDefault="00CB6073" w:rsidP="00EB0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Около </w:t>
            </w:r>
            <w:proofErr w:type="spellStart"/>
            <w:r>
              <w:rPr>
                <w:sz w:val="18"/>
                <w:szCs w:val="18"/>
              </w:rPr>
              <w:t>Красногорской</w:t>
            </w:r>
            <w:proofErr w:type="spellEnd"/>
            <w:r>
              <w:rPr>
                <w:sz w:val="18"/>
                <w:szCs w:val="18"/>
              </w:rPr>
              <w:t xml:space="preserve"> СОШ обустроено 70 </w:t>
            </w:r>
            <w:proofErr w:type="spellStart"/>
            <w:r>
              <w:rPr>
                <w:sz w:val="18"/>
                <w:szCs w:val="18"/>
              </w:rPr>
              <w:t>п.м</w:t>
            </w:r>
            <w:proofErr w:type="spellEnd"/>
            <w:r>
              <w:rPr>
                <w:sz w:val="18"/>
                <w:szCs w:val="18"/>
              </w:rPr>
              <w:t>. ограждающего перильного ограждения.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p w:rsidR="00D841F0" w:rsidRPr="00D841F0" w:rsidRDefault="00D841F0" w:rsidP="00D841F0">
      <w:pPr>
        <w:rPr>
          <w:b/>
        </w:rPr>
      </w:pPr>
      <w:r w:rsidRPr="00D841F0">
        <w:rPr>
          <w:b/>
        </w:rPr>
        <w:t>Муниципальных заданий не установлено.</w:t>
      </w:r>
    </w:p>
    <w:p w:rsidR="009E1CBC" w:rsidRDefault="009E1CBC" w:rsidP="009E1CBC"/>
    <w:p w:rsidR="00D841F0" w:rsidRDefault="00D841F0" w:rsidP="00D841F0">
      <w:pPr>
        <w:spacing w:after="200" w:line="276" w:lineRule="auto"/>
        <w:rPr>
          <w:b/>
        </w:rPr>
      </w:pPr>
    </w:p>
    <w:p w:rsidR="009E1CBC" w:rsidRPr="00D841F0" w:rsidRDefault="009E1CBC" w:rsidP="00D841F0">
      <w:pPr>
        <w:spacing w:after="200" w:line="276" w:lineRule="auto"/>
        <w:rPr>
          <w:b/>
        </w:rPr>
      </w:pPr>
      <w:r>
        <w:rPr>
          <w:b/>
        </w:rPr>
        <w:t xml:space="preserve">Форма 5. </w:t>
      </w:r>
      <w:hyperlink r:id="rId10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p w:rsidR="009E1CBC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E1CBC" w:rsidTr="009E1CB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9E1CBC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47BBC" w:rsidRPr="00F47BBC" w:rsidRDefault="00F47BBC" w:rsidP="00F47B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BBC">
              <w:rPr>
                <w:b/>
                <w:bCs/>
                <w:color w:val="000000"/>
                <w:sz w:val="16"/>
                <w:szCs w:val="16"/>
              </w:rPr>
              <w:t>Повышение безопасности дорожного движения на территории</w:t>
            </w:r>
          </w:p>
          <w:p w:rsidR="009E1CBC" w:rsidRDefault="00886817" w:rsidP="00F47B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Красногорского района на 2017 - 2022</w:t>
            </w:r>
            <w:r w:rsidR="00F47BBC" w:rsidRPr="00F47BBC">
              <w:rPr>
                <w:b/>
                <w:bCs/>
                <w:color w:val="000000"/>
                <w:sz w:val="16"/>
                <w:szCs w:val="16"/>
              </w:rPr>
              <w:t xml:space="preserve"> годы»</w:t>
            </w:r>
          </w:p>
        </w:tc>
      </w:tr>
      <w:tr w:rsidR="00F47BBC" w:rsidTr="006512F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F47B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лиц,  погибших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F47BBC" w:rsidRDefault="0035097E" w:rsidP="00F47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6512FF" w:rsidP="006512F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F47BBC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35097E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F47BBC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Default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7BBC" w:rsidRDefault="00F47B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47BBC" w:rsidTr="00AC54E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F47B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ДТП с пострадавшими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F47BBC" w:rsidRDefault="008D50C8" w:rsidP="00F47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DD0F6E" w:rsidP="00AC54E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8D50C8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387753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8D50C8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Default="008D50C8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-225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7BBC" w:rsidRDefault="00F47B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47BBC" w:rsidTr="00387753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F47B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мест концентрации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47BBC" w:rsidRDefault="008D50C8" w:rsidP="00F47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387753" w:rsidP="0038775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8D50C8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8D50C8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8D50C8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87753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Default="008D50C8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</w:t>
            </w:r>
            <w:r w:rsidR="00387753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7BBC" w:rsidRDefault="00F47BBC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47BBC" w:rsidTr="0099359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F47B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ДТП с водителями, стаж управления которых не превышает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47BBC" w:rsidRDefault="008D50C8" w:rsidP="00F47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784062" w:rsidP="0099359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DB362C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8D50C8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8D50C8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  <w:r w:rsidR="0078406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Default="0078406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7BBC" w:rsidRDefault="00F47BBC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47BBC" w:rsidTr="0099359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F47B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детей, пострадавших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F47BBC" w:rsidRDefault="008D50C8" w:rsidP="00F47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99359C" w:rsidP="0099359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8D50C8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F47BBC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8D50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F47BBC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  <w:p w:rsidR="00F47BBC" w:rsidRDefault="00F47BBC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F47BBC" w:rsidRDefault="00F47BBC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47BBC" w:rsidRDefault="0099359C" w:rsidP="00F47B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8D50C8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</w:t>
            </w:r>
            <w:r w:rsidR="00F47BBC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7BBC" w:rsidRDefault="00F47B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E1CBC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 2</w:t>
            </w:r>
          </w:p>
        </w:tc>
      </w:tr>
      <w:tr w:rsidR="009E1CBC" w:rsidTr="009E1CB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CBC" w:rsidRDefault="009E1C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CBC" w:rsidRDefault="009E1C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E1CBC" w:rsidRDefault="009E1C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E1CBC" w:rsidTr="009E1CB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CBC" w:rsidRDefault="009E1C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CBC" w:rsidRDefault="009E1C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E1CBC" w:rsidRDefault="009E1C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E1CBC" w:rsidTr="009E1CB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E1CBC" w:rsidTr="009E1CBC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E1CBC" w:rsidTr="009E1CBC">
        <w:trPr>
          <w:trHeight w:val="300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</w:t>
            </w:r>
          </w:p>
        </w:tc>
      </w:tr>
      <w:tr w:rsidR="009E1CBC" w:rsidTr="009E1CBC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CBC" w:rsidRDefault="009E1C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CBC" w:rsidRDefault="009E1C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E1CBC" w:rsidRDefault="009E1C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E1CBC" w:rsidTr="009E1CBC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CBC" w:rsidRDefault="009E1C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CBC" w:rsidRDefault="009E1C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E1CBC" w:rsidRDefault="009E1CBC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E1CBC" w:rsidTr="009E1CBC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D841F0" w:rsidRDefault="00D841F0" w:rsidP="00D841F0">
      <w:pPr>
        <w:spacing w:after="200" w:line="276" w:lineRule="auto"/>
        <w:rPr>
          <w:b/>
        </w:rPr>
      </w:pPr>
    </w:p>
    <w:p w:rsidR="00D841F0" w:rsidRDefault="00D841F0" w:rsidP="00D841F0">
      <w:pPr>
        <w:spacing w:after="200" w:line="276" w:lineRule="auto"/>
        <w:rPr>
          <w:b/>
        </w:rPr>
      </w:pPr>
    </w:p>
    <w:p w:rsidR="00D841F0" w:rsidRDefault="00D841F0" w:rsidP="00D841F0">
      <w:pPr>
        <w:spacing w:after="200" w:line="276" w:lineRule="auto"/>
        <w:rPr>
          <w:b/>
        </w:rPr>
      </w:pPr>
    </w:p>
    <w:p w:rsidR="009E1CBC" w:rsidRPr="00D841F0" w:rsidRDefault="009E1CBC" w:rsidP="00D841F0">
      <w:pPr>
        <w:spacing w:after="200" w:line="276" w:lineRule="auto"/>
        <w:rPr>
          <w:b/>
        </w:rPr>
      </w:pPr>
      <w:r>
        <w:rPr>
          <w:b/>
        </w:rPr>
        <w:t xml:space="preserve">Форма 6. </w:t>
      </w:r>
      <w:hyperlink r:id="rId11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88681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1CBC" w:rsidTr="0088681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1CBC" w:rsidTr="009E1CB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1CBC" w:rsidTr="009E1CBC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</w:pPr>
      <w:r>
        <w:br w:type="page"/>
      </w:r>
    </w:p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9E1CBC" w:rsidRDefault="009E1CBC" w:rsidP="009E1CBC">
      <w:pPr>
        <w:ind w:left="5954"/>
      </w:pPr>
      <w:r>
        <w:lastRenderedPageBreak/>
        <w:t>Приложение  4</w:t>
      </w:r>
    </w:p>
    <w:p w:rsidR="009E1CBC" w:rsidRDefault="009E1CBC" w:rsidP="009E1CBC">
      <w:pPr>
        <w:autoSpaceDE w:val="0"/>
        <w:autoSpaceDN w:val="0"/>
        <w:adjustRightInd w:val="0"/>
        <w:ind w:left="5954"/>
      </w:pPr>
      <w:r>
        <w:t xml:space="preserve">к Порядку разработки, формирования,  реализации и оценки эффективности муниципальных программ муниципального образования «Красногорский район»  </w:t>
      </w:r>
    </w:p>
    <w:p w:rsidR="009E1CBC" w:rsidRDefault="009E1CBC" w:rsidP="009E1CBC"/>
    <w:p w:rsidR="009E1CBC" w:rsidRDefault="009E1CBC" w:rsidP="009E1CBC">
      <w:pPr>
        <w:jc w:val="center"/>
        <w:rPr>
          <w:b/>
        </w:rPr>
      </w:pPr>
    </w:p>
    <w:p w:rsidR="009E1CBC" w:rsidRDefault="009E1CBC" w:rsidP="009E1CBC">
      <w:pPr>
        <w:jc w:val="center"/>
        <w:rPr>
          <w:b/>
        </w:rPr>
      </w:pPr>
    </w:p>
    <w:p w:rsidR="009E1CBC" w:rsidRDefault="009E1CBC" w:rsidP="009E1CBC">
      <w:pPr>
        <w:jc w:val="center"/>
        <w:rPr>
          <w:b/>
        </w:rPr>
      </w:pPr>
      <w:r>
        <w:rPr>
          <w:b/>
        </w:rPr>
        <w:t xml:space="preserve">Порядок (методика) оценки </w:t>
      </w:r>
    </w:p>
    <w:p w:rsidR="009E1CBC" w:rsidRDefault="009E1CBC" w:rsidP="009E1CBC">
      <w:pPr>
        <w:jc w:val="center"/>
        <w:rPr>
          <w:b/>
        </w:rPr>
      </w:pPr>
      <w:r>
        <w:rPr>
          <w:b/>
        </w:rPr>
        <w:t xml:space="preserve">эффективности муниципальных программ </w:t>
      </w:r>
    </w:p>
    <w:p w:rsidR="009E1CBC" w:rsidRDefault="009E1CBC" w:rsidP="009E1CBC">
      <w:pPr>
        <w:jc w:val="center"/>
        <w:rPr>
          <w:b/>
          <w:caps/>
        </w:rPr>
      </w:pPr>
    </w:p>
    <w:p w:rsidR="009E1CBC" w:rsidRDefault="009E1CBC" w:rsidP="009E1CBC">
      <w:pPr>
        <w:keepNext/>
        <w:jc w:val="both"/>
      </w:pPr>
    </w:p>
    <w:p w:rsidR="009E1CBC" w:rsidRDefault="009E1CBC" w:rsidP="009E1CB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Оценка эффективности муниципальных программ проводится ежегодно, в срок до 1 марта, по итогам исполнения муниципальных программ за отчетный год, на основе данных годовых отчетов об исполнении  муниципальных программ, а также данных независимых опросов населения, проводимых органами государственной власти Удмуртской Республики, органами местного самоуправления муниципального образования «Красногорский район».</w:t>
      </w:r>
    </w:p>
    <w:p w:rsidR="009E1CBC" w:rsidRDefault="009E1CBC" w:rsidP="009E1CB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Оценка эффективности муниципальных программ проводится в отношении муниципальной программы в целом, а также в отношении подпрограмм муниципальной программы.</w:t>
      </w:r>
    </w:p>
    <w:p w:rsidR="009E1CBC" w:rsidRDefault="009E1CBC" w:rsidP="009E1CB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Для оценки эффективности муниципальной программы (подпрограммы) используются следующие критерии:</w:t>
      </w:r>
    </w:p>
    <w:p w:rsidR="009E1CBC" w:rsidRDefault="009E1CBC" w:rsidP="009E1CBC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</w:pPr>
      <w:r>
        <w:t>оценка достигнутых в отчетном году результатов муниципальной программы (подпрограммы);</w:t>
      </w:r>
    </w:p>
    <w:p w:rsidR="009E1CBC" w:rsidRDefault="009E1CBC" w:rsidP="009E1CBC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</w:pPr>
      <w:r>
        <w:t>динамика достигнутых в отчетном году результатов муниципальной программы (подпрограммы) к уровню прошлого года;</w:t>
      </w:r>
    </w:p>
    <w:p w:rsidR="009E1CBC" w:rsidRDefault="009E1CBC" w:rsidP="009E1CBC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</w:pPr>
      <w:r>
        <w:t>оценка населением эффективности деятельности органов местного самоуправления (качества предоставляемых муниципальных услуг) в сфере реализации муниципальной программы (подпрограммы).</w:t>
      </w:r>
    </w:p>
    <w:p w:rsidR="009E1CBC" w:rsidRDefault="009E1CBC" w:rsidP="009E1CB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На основе критериев оценки эффективности муниципальной программы рассчитывается комплексная оценка эффективности муниципальной программы (подпрограммы) по формуле:</w:t>
      </w:r>
    </w:p>
    <w:p w:rsidR="009E1CBC" w:rsidRDefault="009B5147" w:rsidP="009E1CBC">
      <w:pPr>
        <w:spacing w:line="360" w:lineRule="auto"/>
        <w:jc w:val="center"/>
        <w:rPr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=0,4×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K1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+0,4×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K2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+0,2×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K3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E1CBC">
        <w:rPr>
          <w:i/>
        </w:rPr>
        <w:t>,</w:t>
      </w:r>
    </w:p>
    <w:p w:rsidR="009E1CBC" w:rsidRDefault="009E1CBC" w:rsidP="009E1CBC">
      <w:pPr>
        <w:spacing w:line="360" w:lineRule="auto"/>
        <w:ind w:firstLine="709"/>
        <w:jc w:val="both"/>
      </w:pPr>
      <w:r>
        <w:t>где</w:t>
      </w:r>
    </w:p>
    <w:p w:rsidR="009E1CBC" w:rsidRDefault="009B5147" w:rsidP="009E1CBC">
      <w:pPr>
        <w:spacing w:line="360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E1CBC">
        <w:t xml:space="preserve"> – комплексная оценка эффективности </w:t>
      </w:r>
      <w:proofErr w:type="spellStart"/>
      <w:r w:rsidR="009E1CBC">
        <w:rPr>
          <w:lang w:val="en-US"/>
        </w:rPr>
        <w:t>i</w:t>
      </w:r>
      <w:proofErr w:type="spellEnd"/>
      <w:r w:rsidR="009E1CBC">
        <w:t>-ой муниципальной программы (подпрограммы);</w:t>
      </w:r>
    </w:p>
    <w:p w:rsidR="009E1CBC" w:rsidRDefault="009B5147" w:rsidP="009E1CBC">
      <w:pPr>
        <w:spacing w:line="360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K1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E1CBC">
        <w:t xml:space="preserve"> - оценка достигнутых в отчетном году результатов  </w:t>
      </w:r>
      <w:proofErr w:type="spellStart"/>
      <w:r w:rsidR="009E1CBC">
        <w:rPr>
          <w:lang w:val="en-US"/>
        </w:rPr>
        <w:t>i</w:t>
      </w:r>
      <w:proofErr w:type="spellEnd"/>
      <w:r w:rsidR="009E1CBC">
        <w:t>-ой муниципальной программы (подпрограммы);</w:t>
      </w:r>
    </w:p>
    <w:p w:rsidR="009E1CBC" w:rsidRDefault="009B5147" w:rsidP="009E1CBC">
      <w:pPr>
        <w:spacing w:line="360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K2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E1CBC">
        <w:t xml:space="preserve"> - динамика достигнутых в отчетном году результатов </w:t>
      </w:r>
      <w:proofErr w:type="spellStart"/>
      <w:r w:rsidR="009E1CBC">
        <w:rPr>
          <w:lang w:val="en-US"/>
        </w:rPr>
        <w:t>i</w:t>
      </w:r>
      <w:proofErr w:type="spellEnd"/>
      <w:r w:rsidR="009E1CBC">
        <w:t>-ой муниципальной программы  (подпрограммы) к уровню прошлого года;</w:t>
      </w:r>
    </w:p>
    <w:p w:rsidR="009E1CBC" w:rsidRDefault="009B5147" w:rsidP="009E1CBC">
      <w:pPr>
        <w:spacing w:line="360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K3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E1CBC">
        <w:t xml:space="preserve"> - оценка населением эффективности деятельности органов местного самоуправления (качества предоставляемых муниципальных услуг) в сфере реализации                </w:t>
      </w:r>
      <w:proofErr w:type="spellStart"/>
      <w:r w:rsidR="009E1CBC">
        <w:rPr>
          <w:lang w:val="en-US"/>
        </w:rPr>
        <w:t>i</w:t>
      </w:r>
      <w:proofErr w:type="spellEnd"/>
      <w:r w:rsidR="009E1CBC">
        <w:t>-ой муниципальной программы (подпрограммы).</w:t>
      </w:r>
    </w:p>
    <w:p w:rsidR="009E1CBC" w:rsidRDefault="009E1CBC" w:rsidP="009E1CB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Оценка достигнутых в отчетном году результатов муниципальной программы (подпрограммы)  рассчитывается по формуле:</w:t>
      </w:r>
    </w:p>
    <w:p w:rsidR="009E1CBC" w:rsidRDefault="009B5147" w:rsidP="009E1CBC">
      <w:pPr>
        <w:spacing w:line="360" w:lineRule="auto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K1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  <m:r>
                <w:rPr>
                  <w:rFonts w:ascii="Cambria Math" w:hAnsi="Cambria Math"/>
                </w:rPr>
                <m:t>/j</m:t>
              </m:r>
            </m:e>
          </m:nary>
          <m:r>
            <w:rPr>
              <w:rFonts w:ascii="Cambria Math" w:hAnsi="Cambria Math"/>
            </w:rPr>
            <m:t>×100</m:t>
          </m:r>
        </m:oMath>
      </m:oMathPara>
    </w:p>
    <w:p w:rsidR="009E1CBC" w:rsidRDefault="009E1CBC" w:rsidP="009E1CBC">
      <w:pPr>
        <w:spacing w:line="360" w:lineRule="auto"/>
        <w:ind w:firstLine="709"/>
        <w:jc w:val="both"/>
      </w:pPr>
      <w:r>
        <w:t>где</w:t>
      </w:r>
    </w:p>
    <w:p w:rsidR="009E1CBC" w:rsidRDefault="009B5147" w:rsidP="009E1CBC">
      <w:pPr>
        <w:spacing w:line="360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9E1CBC">
        <w:t xml:space="preserve"> – оценка достижения планового значения </w:t>
      </w:r>
      <w:r w:rsidR="009E1CBC">
        <w:rPr>
          <w:lang w:val="en-US"/>
        </w:rPr>
        <w:t>j</w:t>
      </w:r>
      <w:r w:rsidR="009E1CBC">
        <w:t xml:space="preserve">-го целевого показателя (индикатора)                   </w:t>
      </w:r>
      <w:proofErr w:type="spellStart"/>
      <w:r w:rsidR="009E1CBC">
        <w:rPr>
          <w:lang w:val="en-US"/>
        </w:rPr>
        <w:t>i</w:t>
      </w:r>
      <w:proofErr w:type="spellEnd"/>
      <w:r w:rsidR="009E1CBC">
        <w:t>-ой муниципальной программы (подпрограммы), установленного на отчетный год;</w:t>
      </w:r>
    </w:p>
    <w:p w:rsidR="009E1CBC" w:rsidRDefault="009E1CBC" w:rsidP="009E1CBC">
      <w:pPr>
        <w:spacing w:line="360" w:lineRule="auto"/>
        <w:ind w:firstLine="709"/>
        <w:jc w:val="both"/>
      </w:pPr>
      <m:oMath>
        <m:r>
          <w:rPr>
            <w:rFonts w:ascii="Cambria Math" w:hAnsi="Cambria Math"/>
          </w:rPr>
          <m:t>j</m:t>
        </m:r>
      </m:oMath>
      <w:r>
        <w:t xml:space="preserve"> – количество целевых показателей (индикаторов) в </w:t>
      </w:r>
      <w:proofErr w:type="spellStart"/>
      <w:r>
        <w:rPr>
          <w:lang w:val="en-US"/>
        </w:rPr>
        <w:t>i</w:t>
      </w:r>
      <w:proofErr w:type="spellEnd"/>
      <w:r>
        <w:t>-ой муниципальной программе (подпрограмме).</w:t>
      </w:r>
    </w:p>
    <w:p w:rsidR="009E1CBC" w:rsidRDefault="009E1CBC" w:rsidP="009E1CBC">
      <w:pPr>
        <w:spacing w:line="360" w:lineRule="auto"/>
        <w:ind w:firstLine="709"/>
        <w:jc w:val="both"/>
      </w:pPr>
      <w:r>
        <w:t xml:space="preserve">Оценка достижения планового значения целевого показателя (индикатора) осуществляется в баллах, путем сравнения фактически достигнутого в отчетном году значения с плановым значением, установленным на отчетный год. </w:t>
      </w:r>
    </w:p>
    <w:p w:rsidR="009E1CBC" w:rsidRDefault="009E1CBC" w:rsidP="009E1CBC">
      <w:pPr>
        <w:spacing w:line="360" w:lineRule="auto"/>
        <w:ind w:firstLine="709"/>
        <w:jc w:val="both"/>
      </w:pPr>
      <w:r>
        <w:t>Варианты оценки:</w:t>
      </w:r>
    </w:p>
    <w:p w:rsidR="009E1CBC" w:rsidRDefault="009E1CBC" w:rsidP="009E1CBC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фактическое значение целевого показателя (индикатора) соответствует или превышает плановое значение – 1 балл;</w:t>
      </w:r>
    </w:p>
    <w:p w:rsidR="009E1CBC" w:rsidRDefault="009E1CBC" w:rsidP="009E1CBC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фактическое значение целевого показателя (индикатора) ниже планового значения – 0 баллов.</w:t>
      </w:r>
    </w:p>
    <w:p w:rsidR="009E1CBC" w:rsidRDefault="009E1CBC" w:rsidP="009E1CB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Динамика достигнутых в отчетном году результатов муниципальной программы (подпрограммы) к уровню прошлого года рассчитывается по формуле:</w:t>
      </w:r>
    </w:p>
    <w:p w:rsidR="009E1CBC" w:rsidRDefault="009B5147" w:rsidP="009E1CBC">
      <w:pPr>
        <w:spacing w:line="360" w:lineRule="auto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K1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  <m:r>
                <w:rPr>
                  <w:rFonts w:ascii="Cambria Math" w:hAnsi="Cambria Math"/>
                </w:rPr>
                <m:t>/j</m:t>
              </m:r>
            </m:e>
          </m:nary>
          <m:r>
            <w:rPr>
              <w:rFonts w:ascii="Cambria Math" w:hAnsi="Cambria Math"/>
            </w:rPr>
            <m:t>×100</m:t>
          </m:r>
        </m:oMath>
      </m:oMathPara>
    </w:p>
    <w:p w:rsidR="009E1CBC" w:rsidRDefault="009E1CBC" w:rsidP="009E1CBC">
      <w:pPr>
        <w:spacing w:line="360" w:lineRule="auto"/>
        <w:ind w:firstLine="709"/>
        <w:jc w:val="both"/>
      </w:pPr>
      <w:r>
        <w:t>где</w:t>
      </w:r>
    </w:p>
    <w:p w:rsidR="009E1CBC" w:rsidRDefault="009B5147" w:rsidP="009E1CBC">
      <w:pPr>
        <w:spacing w:line="360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9E1CBC">
        <w:t xml:space="preserve"> – оценка динамики </w:t>
      </w:r>
      <w:r w:rsidR="009E1CBC">
        <w:rPr>
          <w:lang w:val="en-US"/>
        </w:rPr>
        <w:t>j</w:t>
      </w:r>
      <w:r w:rsidR="009E1CBC">
        <w:t xml:space="preserve">-го целевого показателя (индикатора) </w:t>
      </w:r>
      <w:proofErr w:type="spellStart"/>
      <w:r w:rsidR="009E1CBC">
        <w:rPr>
          <w:lang w:val="en-US"/>
        </w:rPr>
        <w:t>i</w:t>
      </w:r>
      <w:proofErr w:type="spellEnd"/>
      <w:r w:rsidR="009E1CBC">
        <w:t>-ой муниципальной программы (подпрограммы) к уровню прошлого года;</w:t>
      </w:r>
    </w:p>
    <w:p w:rsidR="009E1CBC" w:rsidRDefault="009E1CBC" w:rsidP="009E1CBC">
      <w:pPr>
        <w:spacing w:line="360" w:lineRule="auto"/>
        <w:ind w:firstLine="709"/>
        <w:jc w:val="both"/>
      </w:pPr>
      <m:oMath>
        <m:r>
          <w:rPr>
            <w:rFonts w:ascii="Cambria Math" w:hAnsi="Cambria Math"/>
          </w:rPr>
          <m:t>j</m:t>
        </m:r>
      </m:oMath>
      <w:r>
        <w:t xml:space="preserve"> – количество целевых показателей (индикаторов) в </w:t>
      </w:r>
      <w:proofErr w:type="spellStart"/>
      <w:r>
        <w:rPr>
          <w:lang w:val="en-US"/>
        </w:rPr>
        <w:t>i</w:t>
      </w:r>
      <w:proofErr w:type="spellEnd"/>
      <w:r>
        <w:t>-ой муниципальной программе (подпрограмме).</w:t>
      </w:r>
    </w:p>
    <w:p w:rsidR="009E1CBC" w:rsidRDefault="009E1CBC" w:rsidP="009E1CBC">
      <w:pPr>
        <w:spacing w:line="360" w:lineRule="auto"/>
        <w:ind w:firstLine="709"/>
        <w:jc w:val="both"/>
      </w:pPr>
      <w:proofErr w:type="gramStart"/>
      <w:r>
        <w:t>Оценка динамики целевого показателя (индикатора) осуществляется в баллах, путем сравнения фактически достигнутого в отчетном году значения со значением, достигнутым в году, предшествующему отчетному.</w:t>
      </w:r>
      <w:proofErr w:type="gramEnd"/>
    </w:p>
    <w:p w:rsidR="009E1CBC" w:rsidRDefault="009E1CBC" w:rsidP="009E1CBC">
      <w:pPr>
        <w:spacing w:line="360" w:lineRule="auto"/>
        <w:ind w:firstLine="709"/>
        <w:jc w:val="both"/>
      </w:pPr>
      <w:r>
        <w:t>Варианты оценки:</w:t>
      </w:r>
    </w:p>
    <w:p w:rsidR="009E1CBC" w:rsidRDefault="009E1CBC" w:rsidP="009E1CBC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</w:pPr>
      <w:r>
        <w:t>фактическое значение целевого показателя (индикатора) в отчетном году выше значения целевого показателя (индикатора) в году, предшествующему отчетному году – 1 балл;</w:t>
      </w:r>
    </w:p>
    <w:p w:rsidR="009E1CBC" w:rsidRDefault="009E1CBC" w:rsidP="009E1CBC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</w:pPr>
      <w:r>
        <w:lastRenderedPageBreak/>
        <w:t>фактическое значение целевого показателя (индикатора) в отчетном году соответствует или ниже значения целевого показателя (индикатора) в году, предшествующему отчетному году – 0 баллов.</w:t>
      </w:r>
    </w:p>
    <w:p w:rsidR="009E1CBC" w:rsidRDefault="009E1CBC" w:rsidP="009E1CB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Оценка населением эффективности деятельности органов местного самоуправления (качества предоставляемых муниципальных услуг) в сфере реализации                муниципальной программы (подпрограммы) определяется на основе данных независимых опросов населения, проводимых органами местного самоуправления муниципального образования, а также органами государственной власти Удмуртской Республики.</w:t>
      </w:r>
    </w:p>
    <w:p w:rsidR="009E1CBC" w:rsidRDefault="009E1CBC" w:rsidP="009E1CB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По итогам оценки эффективности муниципальных программ формируются сведения по следующей форме: </w:t>
      </w:r>
    </w:p>
    <w:tbl>
      <w:tblPr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009"/>
        <w:gridCol w:w="1636"/>
        <w:gridCol w:w="1365"/>
        <w:gridCol w:w="1365"/>
        <w:gridCol w:w="1365"/>
        <w:gridCol w:w="1365"/>
      </w:tblGrid>
      <w:tr w:rsidR="009E1CBC" w:rsidTr="009E1CBC">
        <w:trPr>
          <w:trHeight w:val="253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ind w:left="-142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комплексной оценки (К)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критериев эффективности</w:t>
            </w:r>
          </w:p>
        </w:tc>
      </w:tr>
      <w:tr w:rsidR="009E1CBC" w:rsidTr="009E1CBC">
        <w:trPr>
          <w:trHeight w:val="25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(К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результатов (К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Мнение населения (К3)</w:t>
            </w:r>
          </w:p>
        </w:tc>
      </w:tr>
      <w:tr w:rsidR="009E1CBC" w:rsidTr="009E1CBC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E1CBC" w:rsidTr="009E1CBC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BC" w:rsidRDefault="009E1CBC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9E1CBC" w:rsidRDefault="009E1CBC" w:rsidP="009E1CBC">
      <w:pPr>
        <w:ind w:left="720"/>
        <w:contextualSpacing/>
      </w:pPr>
    </w:p>
    <w:p w:rsidR="009E1CBC" w:rsidRDefault="009E1CBC" w:rsidP="009E1CBC">
      <w:pPr>
        <w:spacing w:after="200" w:line="276" w:lineRule="auto"/>
        <w:rPr>
          <w:sz w:val="26"/>
          <w:szCs w:val="26"/>
        </w:rPr>
      </w:pPr>
    </w:p>
    <w:p w:rsidR="000F533F" w:rsidRDefault="000F533F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706C0"/>
    <w:rsid w:val="000A7A3B"/>
    <w:rsid w:val="000D032E"/>
    <w:rsid w:val="000F533F"/>
    <w:rsid w:val="001A2DC6"/>
    <w:rsid w:val="00316CB2"/>
    <w:rsid w:val="0035097E"/>
    <w:rsid w:val="00387753"/>
    <w:rsid w:val="003948F6"/>
    <w:rsid w:val="00422CF2"/>
    <w:rsid w:val="004A71C8"/>
    <w:rsid w:val="004C2065"/>
    <w:rsid w:val="005149ED"/>
    <w:rsid w:val="005522EE"/>
    <w:rsid w:val="005914DD"/>
    <w:rsid w:val="00595509"/>
    <w:rsid w:val="006424A9"/>
    <w:rsid w:val="006512FF"/>
    <w:rsid w:val="0065417F"/>
    <w:rsid w:val="00657870"/>
    <w:rsid w:val="006772A7"/>
    <w:rsid w:val="006B67A0"/>
    <w:rsid w:val="00784062"/>
    <w:rsid w:val="007A0656"/>
    <w:rsid w:val="00886817"/>
    <w:rsid w:val="008D50C8"/>
    <w:rsid w:val="00967FE3"/>
    <w:rsid w:val="0099359C"/>
    <w:rsid w:val="009B5147"/>
    <w:rsid w:val="009D628F"/>
    <w:rsid w:val="009E1CBC"/>
    <w:rsid w:val="00A57617"/>
    <w:rsid w:val="00AB69B4"/>
    <w:rsid w:val="00AC54E0"/>
    <w:rsid w:val="00AE496D"/>
    <w:rsid w:val="00C4690C"/>
    <w:rsid w:val="00CB6073"/>
    <w:rsid w:val="00D01EC4"/>
    <w:rsid w:val="00D841F0"/>
    <w:rsid w:val="00DB362C"/>
    <w:rsid w:val="00DD0F6E"/>
    <w:rsid w:val="00EB0422"/>
    <w:rsid w:val="00ED2FDB"/>
    <w:rsid w:val="00F4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15</Pages>
  <Words>2966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2018-04-02T11:10:00Z</cp:lastPrinted>
  <dcterms:created xsi:type="dcterms:W3CDTF">2017-03-07T05:34:00Z</dcterms:created>
  <dcterms:modified xsi:type="dcterms:W3CDTF">2018-04-02T11:35:00Z</dcterms:modified>
</cp:coreProperties>
</file>