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A445A" w14:textId="77777777" w:rsidR="00C013B4" w:rsidRPr="00AF7D59" w:rsidRDefault="002E6FC5">
      <w:pPr>
        <w:jc w:val="center"/>
        <w:rPr>
          <w:rFonts w:ascii="PT Astra Serif" w:hAnsi="PT Astra Serif" w:cs="Times New Roman"/>
          <w:b/>
        </w:rPr>
      </w:pPr>
      <w:r w:rsidRPr="00AF7D59">
        <w:rPr>
          <w:rFonts w:ascii="PT Astra Serif" w:hAnsi="PT Astra Serif" w:cs="Times New Roman"/>
          <w:noProof/>
        </w:rPr>
        <w:drawing>
          <wp:inline distT="0" distB="0" distL="0" distR="0" wp14:anchorId="4122D13B" wp14:editId="6FC1A982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D18C5" w14:textId="77777777" w:rsidR="00C013B4" w:rsidRPr="00AF7D59" w:rsidRDefault="002E6FC5">
      <w:pPr>
        <w:jc w:val="center"/>
        <w:rPr>
          <w:rFonts w:ascii="PT Astra Serif" w:hAnsi="PT Astra Serif" w:cs="Times New Roman"/>
          <w:b/>
          <w:bCs/>
        </w:rPr>
      </w:pPr>
      <w:r w:rsidRPr="00AF7D59">
        <w:rPr>
          <w:rFonts w:ascii="PT Astra Serif" w:hAnsi="PT Astra Serif" w:cs="Times New Roman"/>
          <w:b/>
          <w:bCs/>
        </w:rPr>
        <w:t>РЕШЕНИЕ</w:t>
      </w:r>
    </w:p>
    <w:p w14:paraId="039C22E0" w14:textId="77777777" w:rsidR="00C013B4" w:rsidRPr="00AF7D59" w:rsidRDefault="002E6FC5">
      <w:pPr>
        <w:jc w:val="center"/>
        <w:rPr>
          <w:rFonts w:ascii="PT Astra Serif" w:hAnsi="PT Astra Serif" w:cs="Times New Roman"/>
          <w:b/>
          <w:bCs/>
        </w:rPr>
      </w:pPr>
      <w:r w:rsidRPr="00AF7D59">
        <w:rPr>
          <w:rFonts w:ascii="PT Astra Serif" w:hAnsi="PT Astra Serif" w:cs="Times New Roman"/>
          <w:b/>
          <w:bCs/>
        </w:rPr>
        <w:t>Совета депутатов муниципального образования</w:t>
      </w:r>
    </w:p>
    <w:p w14:paraId="17F28EAB" w14:textId="77777777" w:rsidR="00C013B4" w:rsidRPr="00AF7D59" w:rsidRDefault="002E6FC5">
      <w:pPr>
        <w:jc w:val="center"/>
        <w:rPr>
          <w:rFonts w:ascii="PT Astra Serif" w:hAnsi="PT Astra Serif" w:cs="Times New Roman"/>
          <w:b/>
          <w:bCs/>
        </w:rPr>
      </w:pPr>
      <w:r w:rsidRPr="00AF7D59">
        <w:rPr>
          <w:rFonts w:ascii="PT Astra Serif" w:hAnsi="PT Astra Serif" w:cs="Times New Roman"/>
          <w:b/>
          <w:bCs/>
        </w:rPr>
        <w:t>«Муниципальный округ Красногорский район Удмуртской Республики»</w:t>
      </w:r>
    </w:p>
    <w:p w14:paraId="4F57FECD" w14:textId="77777777" w:rsidR="00C013B4" w:rsidRPr="00AF7D59" w:rsidRDefault="00C013B4">
      <w:pPr>
        <w:jc w:val="center"/>
        <w:rPr>
          <w:rFonts w:ascii="PT Astra Serif" w:hAnsi="PT Astra Serif" w:cs="Times New Roman"/>
          <w:b/>
        </w:rPr>
      </w:pPr>
    </w:p>
    <w:p w14:paraId="376F4413" w14:textId="77777777" w:rsidR="00AF7D59" w:rsidRDefault="002E6FC5">
      <w:pPr>
        <w:jc w:val="center"/>
        <w:rPr>
          <w:rFonts w:ascii="PT Astra Serif" w:hAnsi="PT Astra Serif" w:cs="Times New Roman"/>
          <w:b/>
        </w:rPr>
      </w:pPr>
      <w:r w:rsidRPr="00AF7D59">
        <w:rPr>
          <w:rFonts w:ascii="PT Astra Serif" w:hAnsi="PT Astra Serif" w:cs="Times New Roman"/>
          <w:b/>
        </w:rPr>
        <w:t xml:space="preserve">Об </w:t>
      </w:r>
      <w:proofErr w:type="gramStart"/>
      <w:r w:rsidRPr="00AF7D59">
        <w:rPr>
          <w:rFonts w:ascii="PT Astra Serif" w:hAnsi="PT Astra Serif" w:cs="Times New Roman"/>
          <w:b/>
        </w:rPr>
        <w:t>утверждении  местных</w:t>
      </w:r>
      <w:proofErr w:type="gramEnd"/>
      <w:r w:rsidRPr="00AF7D59">
        <w:rPr>
          <w:rFonts w:ascii="PT Astra Serif" w:hAnsi="PT Astra Serif" w:cs="Times New Roman"/>
          <w:b/>
        </w:rPr>
        <w:t xml:space="preserve"> нормативов градостроительного проектирования муниципального образования «Муниципальный округ Красногорский район</w:t>
      </w:r>
    </w:p>
    <w:p w14:paraId="7DD6DFA7" w14:textId="04B53999" w:rsidR="00C013B4" w:rsidRPr="00AF7D59" w:rsidRDefault="002E6FC5">
      <w:pPr>
        <w:jc w:val="center"/>
        <w:rPr>
          <w:rFonts w:ascii="PT Astra Serif" w:hAnsi="PT Astra Serif" w:cs="Times New Roman"/>
          <w:b/>
        </w:rPr>
      </w:pPr>
      <w:r w:rsidRPr="00AF7D59">
        <w:rPr>
          <w:rFonts w:ascii="PT Astra Serif" w:hAnsi="PT Astra Serif" w:cs="Times New Roman"/>
          <w:b/>
        </w:rPr>
        <w:t>Удмуртской Республики»</w:t>
      </w:r>
    </w:p>
    <w:p w14:paraId="374EFA10" w14:textId="77777777" w:rsidR="00C013B4" w:rsidRPr="00AF7D59" w:rsidRDefault="00C013B4">
      <w:pPr>
        <w:jc w:val="center"/>
        <w:rPr>
          <w:rFonts w:ascii="PT Astra Serif" w:hAnsi="PT Astra Serif" w:cs="Times New Roman"/>
          <w:b/>
        </w:rPr>
      </w:pPr>
    </w:p>
    <w:p w14:paraId="6BDBFCF8" w14:textId="77777777" w:rsidR="00C013B4" w:rsidRPr="00AF7D59" w:rsidRDefault="002E6FC5">
      <w:pPr>
        <w:rPr>
          <w:rFonts w:ascii="PT Astra Serif" w:hAnsi="PT Astra Serif" w:cs="Times New Roman"/>
        </w:rPr>
      </w:pPr>
      <w:r w:rsidRPr="00AF7D59">
        <w:rPr>
          <w:rFonts w:ascii="PT Astra Serif" w:hAnsi="PT Astra Serif" w:cs="Times New Roman"/>
        </w:rPr>
        <w:t>Принято Советом депутатов</w:t>
      </w:r>
    </w:p>
    <w:p w14:paraId="7184A908" w14:textId="77777777" w:rsidR="00C013B4" w:rsidRPr="00AF7D59" w:rsidRDefault="002E6FC5">
      <w:pPr>
        <w:rPr>
          <w:rFonts w:ascii="PT Astra Serif" w:hAnsi="PT Astra Serif" w:cs="Times New Roman"/>
        </w:rPr>
      </w:pPr>
      <w:r w:rsidRPr="00AF7D59">
        <w:rPr>
          <w:rFonts w:ascii="PT Astra Serif" w:hAnsi="PT Astra Serif" w:cs="Times New Roman"/>
        </w:rPr>
        <w:t>муниципального образования</w:t>
      </w:r>
    </w:p>
    <w:p w14:paraId="09558A53" w14:textId="77777777" w:rsidR="00C013B4" w:rsidRPr="00AF7D59" w:rsidRDefault="002E6FC5">
      <w:pPr>
        <w:rPr>
          <w:rFonts w:ascii="PT Astra Serif" w:hAnsi="PT Astra Serif" w:cs="Times New Roman"/>
        </w:rPr>
      </w:pPr>
      <w:r w:rsidRPr="00AF7D59">
        <w:rPr>
          <w:rFonts w:ascii="PT Astra Serif" w:hAnsi="PT Astra Serif" w:cs="Times New Roman"/>
        </w:rPr>
        <w:t>«Муниципальный округ Красногорский район</w:t>
      </w:r>
    </w:p>
    <w:p w14:paraId="31A853B7" w14:textId="3DD950E2" w:rsidR="00C013B4" w:rsidRPr="00AF7D59" w:rsidRDefault="002E6FC5">
      <w:pPr>
        <w:rPr>
          <w:rFonts w:ascii="PT Astra Serif" w:hAnsi="PT Astra Serif" w:cs="Times New Roman"/>
        </w:rPr>
      </w:pPr>
      <w:r w:rsidRPr="00AF7D59">
        <w:rPr>
          <w:rFonts w:ascii="PT Astra Serif" w:hAnsi="PT Astra Serif" w:cs="Times New Roman"/>
        </w:rPr>
        <w:t xml:space="preserve">Удмуртской </w:t>
      </w:r>
      <w:proofErr w:type="gramStart"/>
      <w:r w:rsidRPr="00AF7D59">
        <w:rPr>
          <w:rFonts w:ascii="PT Astra Serif" w:hAnsi="PT Astra Serif" w:cs="Times New Roman"/>
        </w:rPr>
        <w:t xml:space="preserve">Республики»   </w:t>
      </w:r>
      <w:proofErr w:type="gramEnd"/>
      <w:r w:rsidRPr="00AF7D59">
        <w:rPr>
          <w:rFonts w:ascii="PT Astra Serif" w:hAnsi="PT Astra Serif" w:cs="Times New Roman"/>
        </w:rPr>
        <w:t xml:space="preserve">                                                           </w:t>
      </w:r>
      <w:r w:rsidR="00F30A81" w:rsidRPr="00AF7D59">
        <w:rPr>
          <w:rFonts w:ascii="PT Astra Serif" w:hAnsi="PT Astra Serif" w:cs="Times New Roman"/>
        </w:rPr>
        <w:t xml:space="preserve">           </w:t>
      </w:r>
      <w:r w:rsidRPr="00AF7D59">
        <w:rPr>
          <w:rFonts w:ascii="PT Astra Serif" w:hAnsi="PT Astra Serif" w:cs="Times New Roman"/>
        </w:rPr>
        <w:t xml:space="preserve">        </w:t>
      </w:r>
      <w:r w:rsidR="00AF7D59">
        <w:rPr>
          <w:rFonts w:ascii="PT Astra Serif" w:hAnsi="PT Astra Serif" w:cs="Times New Roman"/>
        </w:rPr>
        <w:t xml:space="preserve">19 декабря </w:t>
      </w:r>
      <w:r w:rsidRPr="00AF7D59">
        <w:rPr>
          <w:rFonts w:ascii="PT Astra Serif" w:hAnsi="PT Astra Serif" w:cs="Times New Roman"/>
        </w:rPr>
        <w:t>2024 года</w:t>
      </w:r>
    </w:p>
    <w:p w14:paraId="21A06AD9" w14:textId="77777777" w:rsidR="00C013B4" w:rsidRPr="00AF7D59" w:rsidRDefault="00C013B4">
      <w:pPr>
        <w:pStyle w:val="ConsPlusNormal"/>
        <w:ind w:right="-1"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222FD8BB" w14:textId="235C867A" w:rsidR="00C013B4" w:rsidRPr="00AF7D59" w:rsidRDefault="002E6FC5">
      <w:pPr>
        <w:pStyle w:val="ConsPlusNormal"/>
        <w:ind w:right="-1" w:firstLine="709"/>
        <w:jc w:val="both"/>
        <w:rPr>
          <w:rFonts w:ascii="PT Astra Serif" w:hAnsi="PT Astra Serif" w:cs="Times New Roman"/>
          <w:sz w:val="24"/>
          <w:szCs w:val="24"/>
        </w:rPr>
      </w:pPr>
      <w:r w:rsidRPr="00AF7D59">
        <w:rPr>
          <w:rFonts w:ascii="PT Astra Serif" w:hAnsi="PT Astra Serif" w:cs="Times New Roman"/>
          <w:sz w:val="24"/>
          <w:szCs w:val="24"/>
        </w:rPr>
        <w:t xml:space="preserve">В соответствии с </w:t>
      </w:r>
      <w:r w:rsidR="000169D5" w:rsidRPr="00AF7D59">
        <w:rPr>
          <w:rFonts w:ascii="PT Astra Serif" w:hAnsi="PT Astra Serif" w:cs="Times New Roman"/>
          <w:sz w:val="24"/>
          <w:szCs w:val="24"/>
        </w:rPr>
        <w:t xml:space="preserve">со статьями 8, 29.4 </w:t>
      </w:r>
      <w:r w:rsidRPr="00AF7D59">
        <w:rPr>
          <w:rFonts w:ascii="PT Astra Serif" w:hAnsi="PT Astra Serif" w:cs="Times New Roman"/>
          <w:sz w:val="24"/>
          <w:szCs w:val="24"/>
        </w:rPr>
        <w:t>Градостроительным кодексом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руководствуясь Уставом муниципального образования «Муниципальный округ Красногорский район Удмуртской Республики»,</w:t>
      </w:r>
      <w:r w:rsidR="000169D5" w:rsidRPr="00AF7D59">
        <w:rPr>
          <w:rFonts w:ascii="PT Astra Serif" w:hAnsi="PT Astra Serif" w:cs="Times New Roman"/>
          <w:sz w:val="24"/>
          <w:szCs w:val="24"/>
        </w:rPr>
        <w:t xml:space="preserve"> </w:t>
      </w:r>
    </w:p>
    <w:p w14:paraId="209A45DE" w14:textId="77777777" w:rsidR="00C013B4" w:rsidRPr="00AF7D59" w:rsidRDefault="00C013B4">
      <w:pPr>
        <w:pStyle w:val="ConsPlusNormal"/>
        <w:ind w:right="-1"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0B898535" w14:textId="77777777" w:rsidR="00AF7D59" w:rsidRDefault="002E6FC5" w:rsidP="00AF7D59">
      <w:pPr>
        <w:pStyle w:val="ConsPlusNormal"/>
        <w:ind w:right="-1" w:firstLine="0"/>
        <w:jc w:val="center"/>
        <w:rPr>
          <w:rFonts w:ascii="PT Astra Serif" w:hAnsi="PT Astra Serif" w:cs="Times New Roman"/>
          <w:sz w:val="24"/>
          <w:szCs w:val="24"/>
        </w:rPr>
      </w:pPr>
      <w:r w:rsidRPr="00AF7D59">
        <w:rPr>
          <w:rFonts w:ascii="PT Astra Serif" w:hAnsi="PT Astra Serif" w:cs="Times New Roman"/>
          <w:sz w:val="24"/>
          <w:szCs w:val="24"/>
        </w:rPr>
        <w:t>Совет депутатов муниципального образования</w:t>
      </w:r>
    </w:p>
    <w:p w14:paraId="59771782" w14:textId="0EDE91BC" w:rsidR="00C013B4" w:rsidRPr="00AF7D59" w:rsidRDefault="002E6FC5" w:rsidP="00AF7D59">
      <w:pPr>
        <w:pStyle w:val="ConsPlusNormal"/>
        <w:ind w:right="-1" w:firstLine="0"/>
        <w:jc w:val="center"/>
        <w:rPr>
          <w:rFonts w:ascii="PT Astra Serif" w:hAnsi="PT Astra Serif" w:cs="Times New Roman"/>
          <w:sz w:val="24"/>
          <w:szCs w:val="24"/>
        </w:rPr>
      </w:pPr>
      <w:r w:rsidRPr="00AF7D59">
        <w:rPr>
          <w:rFonts w:ascii="PT Astra Serif" w:hAnsi="PT Astra Serif" w:cs="Times New Roman"/>
          <w:sz w:val="24"/>
          <w:szCs w:val="24"/>
        </w:rPr>
        <w:t>«Муниципальный округ Красногорский район Удмуртской Республики» РЕШАЕТ:</w:t>
      </w:r>
    </w:p>
    <w:p w14:paraId="48CDC977" w14:textId="77777777" w:rsidR="00C013B4" w:rsidRPr="00AF7D59" w:rsidRDefault="00C013B4">
      <w:pPr>
        <w:pStyle w:val="ConsPlusNormal"/>
        <w:ind w:right="-1" w:firstLine="709"/>
        <w:jc w:val="center"/>
        <w:rPr>
          <w:rFonts w:ascii="PT Astra Serif" w:hAnsi="PT Astra Serif" w:cs="Times New Roman"/>
          <w:sz w:val="24"/>
          <w:szCs w:val="24"/>
        </w:rPr>
      </w:pPr>
    </w:p>
    <w:p w14:paraId="19B6C202" w14:textId="35C806AA" w:rsidR="00C013B4" w:rsidRPr="00AF7D59" w:rsidRDefault="002E6FC5" w:rsidP="00AF7D59">
      <w:pPr>
        <w:pStyle w:val="af0"/>
        <w:numPr>
          <w:ilvl w:val="1"/>
          <w:numId w:val="2"/>
        </w:numPr>
        <w:tabs>
          <w:tab w:val="left" w:pos="426"/>
        </w:tabs>
        <w:ind w:left="1" w:firstLine="566"/>
        <w:jc w:val="both"/>
        <w:rPr>
          <w:rFonts w:ascii="PT Astra Serif" w:hAnsi="PT Astra Serif" w:cs="Times New Roman"/>
        </w:rPr>
      </w:pPr>
      <w:r w:rsidRPr="00AF7D59">
        <w:rPr>
          <w:rFonts w:ascii="PT Astra Serif" w:hAnsi="PT Astra Serif" w:cs="Times New Roman"/>
        </w:rPr>
        <w:t>Утвердить местные нормативы градостроительного проектирования муниципального образования «Муниципальный округ Красногорский район Удмуртской Республики» (приложение № 1).</w:t>
      </w:r>
    </w:p>
    <w:p w14:paraId="133D9029" w14:textId="77777777" w:rsidR="00C013B4" w:rsidRPr="00AF7D59" w:rsidRDefault="002E6FC5" w:rsidP="00AF7D59">
      <w:pPr>
        <w:pStyle w:val="af0"/>
        <w:numPr>
          <w:ilvl w:val="1"/>
          <w:numId w:val="2"/>
        </w:numPr>
        <w:tabs>
          <w:tab w:val="left" w:pos="426"/>
        </w:tabs>
        <w:ind w:left="1" w:firstLine="566"/>
        <w:jc w:val="both"/>
        <w:rPr>
          <w:rFonts w:ascii="PT Astra Serif" w:hAnsi="PT Astra Serif" w:cs="Times New Roman"/>
        </w:rPr>
      </w:pPr>
      <w:r w:rsidRPr="00AF7D59">
        <w:rPr>
          <w:rFonts w:ascii="PT Astra Serif" w:hAnsi="PT Astra Serif" w:cs="Times New Roman"/>
        </w:rPr>
        <w:t>Настоящее решение опубликовать на официальном сайте муниципального образования «Муниципальный округ Красногорский район Удмуртской Республики».</w:t>
      </w:r>
    </w:p>
    <w:p w14:paraId="4BE6ACBB" w14:textId="218DB139" w:rsidR="000169D5" w:rsidRPr="00AF7D59" w:rsidRDefault="00E73A3E" w:rsidP="00AF7D59">
      <w:pPr>
        <w:pStyle w:val="af0"/>
        <w:numPr>
          <w:ilvl w:val="1"/>
          <w:numId w:val="2"/>
        </w:numPr>
        <w:tabs>
          <w:tab w:val="left" w:pos="426"/>
        </w:tabs>
        <w:ind w:leftChars="92" w:left="221" w:firstLineChars="144" w:firstLine="346"/>
        <w:jc w:val="both"/>
        <w:rPr>
          <w:rFonts w:ascii="PT Astra Serif" w:hAnsi="PT Astra Serif" w:cs="Times New Roman"/>
        </w:rPr>
      </w:pPr>
      <w:r w:rsidRPr="00AF7D59">
        <w:rPr>
          <w:rFonts w:ascii="PT Astra Serif" w:hAnsi="PT Astra Serif" w:cs="Times New Roman"/>
        </w:rPr>
        <w:t xml:space="preserve"> </w:t>
      </w:r>
      <w:r w:rsidR="002E6FC5" w:rsidRPr="00AF7D59">
        <w:rPr>
          <w:rFonts w:ascii="PT Astra Serif" w:hAnsi="PT Astra Serif" w:cs="Times New Roman"/>
        </w:rPr>
        <w:t>Настоящее решение вступает в силу со дня его официального опубликования.</w:t>
      </w:r>
    </w:p>
    <w:p w14:paraId="14939050" w14:textId="3E632D33" w:rsidR="00E73A3E" w:rsidRPr="00AF7D59" w:rsidRDefault="000169D5" w:rsidP="00AF7D59">
      <w:pPr>
        <w:pStyle w:val="af0"/>
        <w:numPr>
          <w:ilvl w:val="1"/>
          <w:numId w:val="2"/>
        </w:numPr>
        <w:tabs>
          <w:tab w:val="left" w:pos="426"/>
        </w:tabs>
        <w:ind w:left="0" w:firstLine="566"/>
        <w:jc w:val="both"/>
        <w:rPr>
          <w:rFonts w:ascii="PT Astra Serif" w:hAnsi="PT Astra Serif" w:cs="Times New Roman"/>
        </w:rPr>
      </w:pPr>
      <w:r w:rsidRPr="00AF7D59">
        <w:rPr>
          <w:rFonts w:ascii="PT Astra Serif" w:hAnsi="PT Astra Serif" w:cs="Times New Roman"/>
        </w:rPr>
        <w:t xml:space="preserve">Признать утратившим силу Решение Совета депутатов муниципального образования «Красногорский район» № 104 от 14.12.2017 «Местные нормативы градостроительного проектирования муниципального образования «Красногорский район». </w:t>
      </w:r>
    </w:p>
    <w:p w14:paraId="3BB515AB" w14:textId="77777777" w:rsidR="00C013B4" w:rsidRPr="00AF7D59" w:rsidRDefault="00C013B4">
      <w:pPr>
        <w:ind w:firstLine="709"/>
        <w:jc w:val="both"/>
        <w:rPr>
          <w:rFonts w:ascii="PT Astra Serif" w:hAnsi="PT Astra Serif" w:cs="Times New Roman"/>
        </w:rPr>
      </w:pPr>
    </w:p>
    <w:p w14:paraId="2D0D0A07" w14:textId="77777777" w:rsidR="00C013B4" w:rsidRPr="00AF7D59" w:rsidRDefault="00C013B4">
      <w:pPr>
        <w:ind w:firstLine="709"/>
        <w:jc w:val="both"/>
        <w:rPr>
          <w:rFonts w:ascii="PT Astra Serif" w:hAnsi="PT Astra Serif" w:cs="Times New Roman"/>
        </w:rPr>
      </w:pPr>
    </w:p>
    <w:p w14:paraId="4828735B" w14:textId="77777777" w:rsidR="00AF7D59" w:rsidRDefault="002E6FC5">
      <w:pPr>
        <w:jc w:val="both"/>
        <w:rPr>
          <w:rFonts w:ascii="PT Astra Serif" w:hAnsi="PT Astra Serif" w:cs="Times New Roman"/>
        </w:rPr>
      </w:pPr>
      <w:r w:rsidRPr="00AF7D59">
        <w:rPr>
          <w:rFonts w:ascii="PT Astra Serif" w:hAnsi="PT Astra Serif" w:cs="Times New Roman"/>
        </w:rPr>
        <w:t>Председатель Совета депутатов</w:t>
      </w:r>
    </w:p>
    <w:p w14:paraId="64EA61F4" w14:textId="77777777" w:rsidR="00AF7D59" w:rsidRDefault="00AF7D59" w:rsidP="00AF7D59">
      <w:pPr>
        <w:jc w:val="both"/>
        <w:rPr>
          <w:rFonts w:ascii="PT Astra Serif" w:hAnsi="PT Astra Serif" w:cs="Times New Roman"/>
        </w:rPr>
      </w:pPr>
      <w:r w:rsidRPr="00AF7D59">
        <w:rPr>
          <w:rFonts w:ascii="PT Astra Serif" w:hAnsi="PT Astra Serif" w:cs="Times New Roman"/>
        </w:rPr>
        <w:t>М</w:t>
      </w:r>
      <w:r w:rsidR="002E6FC5" w:rsidRPr="00AF7D59">
        <w:rPr>
          <w:rFonts w:ascii="PT Astra Serif" w:hAnsi="PT Astra Serif" w:cs="Times New Roman"/>
        </w:rPr>
        <w:t>униципального</w:t>
      </w:r>
      <w:r>
        <w:rPr>
          <w:rFonts w:ascii="PT Astra Serif" w:hAnsi="PT Astra Serif" w:cs="Times New Roman"/>
        </w:rPr>
        <w:t xml:space="preserve"> </w:t>
      </w:r>
      <w:r w:rsidR="002E6FC5" w:rsidRPr="00AF7D59">
        <w:rPr>
          <w:rFonts w:ascii="PT Astra Serif" w:hAnsi="PT Astra Serif" w:cs="Times New Roman"/>
        </w:rPr>
        <w:t>образования</w:t>
      </w:r>
    </w:p>
    <w:p w14:paraId="62375446" w14:textId="77777777" w:rsidR="00AF7D59" w:rsidRDefault="002E6FC5" w:rsidP="00AF7D59">
      <w:pPr>
        <w:jc w:val="both"/>
        <w:rPr>
          <w:rFonts w:ascii="PT Astra Serif" w:hAnsi="PT Astra Serif" w:cs="Times New Roman"/>
        </w:rPr>
      </w:pPr>
      <w:r w:rsidRPr="00AF7D59">
        <w:rPr>
          <w:rFonts w:ascii="PT Astra Serif" w:hAnsi="PT Astra Serif" w:cs="Times New Roman"/>
        </w:rPr>
        <w:t>«Муниципальный округ</w:t>
      </w:r>
      <w:r w:rsidR="00AF7D59">
        <w:rPr>
          <w:rFonts w:ascii="PT Astra Serif" w:hAnsi="PT Astra Serif" w:cs="Times New Roman"/>
        </w:rPr>
        <w:t xml:space="preserve"> </w:t>
      </w:r>
      <w:r w:rsidRPr="00AF7D59">
        <w:rPr>
          <w:rFonts w:ascii="PT Astra Serif" w:hAnsi="PT Astra Serif" w:cs="Times New Roman"/>
        </w:rPr>
        <w:t>Красногорский район</w:t>
      </w:r>
    </w:p>
    <w:p w14:paraId="4BE22494" w14:textId="0622B906" w:rsidR="00C013B4" w:rsidRPr="00AF7D59" w:rsidRDefault="002E6FC5" w:rsidP="00AF7D59">
      <w:pPr>
        <w:jc w:val="both"/>
        <w:rPr>
          <w:rFonts w:ascii="PT Astra Serif" w:eastAsia="Times New Roman" w:hAnsi="PT Astra Serif" w:cs="Times New Roman"/>
          <w:color w:val="auto"/>
        </w:rPr>
      </w:pPr>
      <w:r w:rsidRPr="00AF7D59">
        <w:rPr>
          <w:rFonts w:ascii="PT Astra Serif" w:hAnsi="PT Astra Serif" w:cs="Times New Roman"/>
        </w:rPr>
        <w:t>Удмуртской Республики»</w:t>
      </w:r>
      <w:r w:rsidRPr="00AF7D59">
        <w:rPr>
          <w:rFonts w:ascii="PT Astra Serif" w:hAnsi="PT Astra Serif" w:cs="Times New Roman"/>
        </w:rPr>
        <w:tab/>
      </w:r>
      <w:r w:rsidRPr="00AF7D59">
        <w:rPr>
          <w:rFonts w:ascii="PT Astra Serif" w:hAnsi="PT Astra Serif" w:cs="Times New Roman"/>
        </w:rPr>
        <w:tab/>
      </w:r>
      <w:r w:rsidRPr="00AF7D59">
        <w:rPr>
          <w:rFonts w:ascii="PT Astra Serif" w:hAnsi="PT Astra Serif" w:cs="Times New Roman"/>
        </w:rPr>
        <w:tab/>
      </w:r>
      <w:r w:rsidR="00AF7D59">
        <w:rPr>
          <w:rFonts w:ascii="PT Astra Serif" w:hAnsi="PT Astra Serif" w:cs="Times New Roman"/>
        </w:rPr>
        <w:t xml:space="preserve">                                                             </w:t>
      </w:r>
      <w:r w:rsidRPr="00AF7D59">
        <w:rPr>
          <w:rFonts w:ascii="PT Astra Serif" w:hAnsi="PT Astra Serif" w:cs="Times New Roman"/>
        </w:rPr>
        <w:t>И.Б. Прокашев</w:t>
      </w:r>
    </w:p>
    <w:p w14:paraId="3DA22A4B" w14:textId="77777777" w:rsidR="00C013B4" w:rsidRPr="00AF7D59" w:rsidRDefault="00C013B4">
      <w:pPr>
        <w:widowControl/>
        <w:jc w:val="both"/>
        <w:rPr>
          <w:rFonts w:ascii="PT Astra Serif" w:eastAsia="Times New Roman" w:hAnsi="PT Astra Serif" w:cs="Times New Roman"/>
          <w:color w:val="auto"/>
        </w:rPr>
      </w:pPr>
    </w:p>
    <w:p w14:paraId="113D41A3" w14:textId="77777777" w:rsidR="00C013B4" w:rsidRPr="00AF7D59" w:rsidRDefault="00C013B4">
      <w:pPr>
        <w:widowControl/>
        <w:jc w:val="both"/>
        <w:rPr>
          <w:rFonts w:ascii="PT Astra Serif" w:eastAsia="Times New Roman" w:hAnsi="PT Astra Serif" w:cs="Times New Roman"/>
          <w:color w:val="auto"/>
        </w:rPr>
      </w:pPr>
    </w:p>
    <w:p w14:paraId="760BBB24" w14:textId="77777777" w:rsidR="00C013B4" w:rsidRPr="00AF7D59" w:rsidRDefault="002E6FC5">
      <w:pPr>
        <w:widowControl/>
        <w:jc w:val="both"/>
        <w:rPr>
          <w:rFonts w:ascii="PT Astra Serif" w:eastAsia="Times New Roman" w:hAnsi="PT Astra Serif" w:cs="Times New Roman"/>
          <w:color w:val="auto"/>
        </w:rPr>
      </w:pPr>
      <w:r w:rsidRPr="00AF7D59">
        <w:rPr>
          <w:rFonts w:ascii="PT Astra Serif" w:eastAsia="Times New Roman" w:hAnsi="PT Astra Serif" w:cs="Times New Roman"/>
          <w:color w:val="auto"/>
        </w:rPr>
        <w:t>Глава муниципального образования</w:t>
      </w:r>
    </w:p>
    <w:p w14:paraId="3B17455F" w14:textId="77777777" w:rsidR="00C013B4" w:rsidRPr="00AF7D59" w:rsidRDefault="002E6FC5">
      <w:pPr>
        <w:widowControl/>
        <w:jc w:val="both"/>
        <w:rPr>
          <w:rFonts w:ascii="PT Astra Serif" w:eastAsia="Times New Roman" w:hAnsi="PT Astra Serif" w:cs="Times New Roman"/>
          <w:color w:val="auto"/>
        </w:rPr>
      </w:pPr>
      <w:r w:rsidRPr="00AF7D59">
        <w:rPr>
          <w:rFonts w:ascii="PT Astra Serif" w:eastAsia="Times New Roman" w:hAnsi="PT Astra Serif" w:cs="Times New Roman"/>
          <w:color w:val="auto"/>
        </w:rPr>
        <w:t xml:space="preserve">«Муниципальный округ Красногорский район </w:t>
      </w:r>
    </w:p>
    <w:p w14:paraId="06CD1991" w14:textId="0583B251" w:rsidR="00C013B4" w:rsidRPr="00AF7D59" w:rsidRDefault="002E6FC5">
      <w:pPr>
        <w:widowControl/>
        <w:jc w:val="both"/>
        <w:rPr>
          <w:rFonts w:ascii="PT Astra Serif" w:eastAsia="Times New Roman" w:hAnsi="PT Astra Serif" w:cs="Times New Roman"/>
          <w:color w:val="auto"/>
        </w:rPr>
      </w:pPr>
      <w:r w:rsidRPr="00AF7D59">
        <w:rPr>
          <w:rFonts w:ascii="PT Astra Serif" w:eastAsia="Times New Roman" w:hAnsi="PT Astra Serif" w:cs="Times New Roman"/>
          <w:color w:val="auto"/>
        </w:rPr>
        <w:t>Удмуртской Республики»</w:t>
      </w:r>
      <w:r w:rsidRPr="00AF7D59">
        <w:rPr>
          <w:rFonts w:ascii="PT Astra Serif" w:eastAsia="Times New Roman" w:hAnsi="PT Astra Serif" w:cs="Times New Roman"/>
          <w:color w:val="auto"/>
        </w:rPr>
        <w:tab/>
      </w:r>
      <w:r w:rsidRPr="00AF7D59">
        <w:rPr>
          <w:rFonts w:ascii="PT Astra Serif" w:eastAsia="Times New Roman" w:hAnsi="PT Astra Serif" w:cs="Times New Roman"/>
          <w:color w:val="auto"/>
        </w:rPr>
        <w:tab/>
      </w:r>
      <w:r w:rsidRPr="00AF7D59">
        <w:rPr>
          <w:rFonts w:ascii="PT Astra Serif" w:eastAsia="Times New Roman" w:hAnsi="PT Astra Serif" w:cs="Times New Roman"/>
          <w:color w:val="auto"/>
        </w:rPr>
        <w:tab/>
      </w:r>
      <w:r w:rsidRPr="00AF7D59">
        <w:rPr>
          <w:rFonts w:ascii="PT Astra Serif" w:eastAsia="Times New Roman" w:hAnsi="PT Astra Serif" w:cs="Times New Roman"/>
          <w:color w:val="auto"/>
        </w:rPr>
        <w:tab/>
      </w:r>
      <w:r w:rsidRPr="00AF7D59">
        <w:rPr>
          <w:rFonts w:ascii="PT Astra Serif" w:eastAsia="Times New Roman" w:hAnsi="PT Astra Serif" w:cs="Times New Roman"/>
          <w:color w:val="auto"/>
        </w:rPr>
        <w:tab/>
      </w:r>
      <w:r w:rsidRPr="00AF7D59">
        <w:rPr>
          <w:rFonts w:ascii="PT Astra Serif" w:eastAsia="Times New Roman" w:hAnsi="PT Astra Serif" w:cs="Times New Roman"/>
          <w:color w:val="auto"/>
        </w:rPr>
        <w:tab/>
      </w:r>
      <w:r w:rsidRPr="00AF7D59">
        <w:rPr>
          <w:rFonts w:ascii="PT Astra Serif" w:eastAsia="Times New Roman" w:hAnsi="PT Astra Serif" w:cs="Times New Roman"/>
          <w:color w:val="auto"/>
        </w:rPr>
        <w:tab/>
      </w:r>
      <w:r w:rsidRPr="00AF7D59">
        <w:rPr>
          <w:rFonts w:ascii="PT Astra Serif" w:eastAsia="Times New Roman" w:hAnsi="PT Astra Serif" w:cs="Times New Roman"/>
          <w:color w:val="auto"/>
        </w:rPr>
        <w:tab/>
      </w:r>
      <w:r w:rsidR="001E789D">
        <w:rPr>
          <w:rFonts w:ascii="PT Astra Serif" w:eastAsia="Times New Roman" w:hAnsi="PT Astra Serif" w:cs="Times New Roman"/>
          <w:color w:val="auto"/>
        </w:rPr>
        <w:t xml:space="preserve"> </w:t>
      </w:r>
      <w:r w:rsidRPr="00AF7D59">
        <w:rPr>
          <w:rFonts w:ascii="PT Astra Serif" w:eastAsia="Times New Roman" w:hAnsi="PT Astra Serif" w:cs="Times New Roman"/>
          <w:color w:val="auto"/>
        </w:rPr>
        <w:t>Л.И. Сергеева</w:t>
      </w:r>
    </w:p>
    <w:p w14:paraId="055A912B" w14:textId="77777777" w:rsidR="00C013B4" w:rsidRPr="00AF7D59" w:rsidRDefault="00C013B4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7E7FC8A7" w14:textId="77777777" w:rsidR="00C013B4" w:rsidRPr="00AF7D59" w:rsidRDefault="002E6FC5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AF7D59">
        <w:rPr>
          <w:rFonts w:ascii="PT Astra Serif" w:hAnsi="PT Astra Serif" w:cs="Times New Roman"/>
          <w:sz w:val="24"/>
          <w:szCs w:val="24"/>
        </w:rPr>
        <w:t>село Красногорское</w:t>
      </w:r>
    </w:p>
    <w:p w14:paraId="0741AB0D" w14:textId="6EB6AC79" w:rsidR="00C013B4" w:rsidRPr="00AF7D59" w:rsidRDefault="00AF7D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19 декабря </w:t>
      </w:r>
      <w:r w:rsidR="002E6FC5" w:rsidRPr="00AF7D59">
        <w:rPr>
          <w:rFonts w:ascii="PT Astra Serif" w:hAnsi="PT Astra Serif" w:cs="Times New Roman"/>
          <w:sz w:val="24"/>
          <w:szCs w:val="24"/>
        </w:rPr>
        <w:t>2024 года</w:t>
      </w:r>
    </w:p>
    <w:p w14:paraId="7D4BD947" w14:textId="59C79055" w:rsidR="00C013B4" w:rsidRPr="00AF7D59" w:rsidRDefault="002E6FC5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AF7D59">
        <w:rPr>
          <w:rFonts w:ascii="PT Astra Serif" w:hAnsi="PT Astra Serif" w:cs="Times New Roman"/>
          <w:sz w:val="24"/>
          <w:szCs w:val="24"/>
        </w:rPr>
        <w:t xml:space="preserve">№ </w:t>
      </w:r>
      <w:r w:rsidR="001E789D">
        <w:rPr>
          <w:rFonts w:ascii="PT Astra Serif" w:hAnsi="PT Astra Serif" w:cs="Times New Roman"/>
          <w:sz w:val="24"/>
          <w:szCs w:val="24"/>
        </w:rPr>
        <w:t>323</w:t>
      </w:r>
    </w:p>
    <w:p w14:paraId="61DB648A" w14:textId="77777777" w:rsidR="00C013B4" w:rsidRPr="00AF7D59" w:rsidRDefault="00C013B4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38ACE3C4" w14:textId="77777777" w:rsidR="00C013B4" w:rsidRPr="00AF7D59" w:rsidRDefault="00C013B4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3C561D02" w14:textId="4C02E486" w:rsidR="00C013B4" w:rsidRPr="00AF7D59" w:rsidRDefault="002E6FC5" w:rsidP="00935FDB">
      <w:pPr>
        <w:widowControl/>
        <w:rPr>
          <w:rFonts w:ascii="PT Astra Serif" w:eastAsia="Times New Roman" w:hAnsi="PT Astra Serif" w:cs="Times New Roman"/>
          <w:sz w:val="22"/>
          <w:szCs w:val="22"/>
        </w:rPr>
      </w:pPr>
      <w:r w:rsidRPr="00AF7D59">
        <w:rPr>
          <w:rFonts w:ascii="PT Astra Serif" w:hAnsi="PT Astra Serif" w:cs="Times New Roman"/>
        </w:rPr>
        <w:br w:type="page"/>
      </w:r>
      <w:r w:rsidR="00935FDB" w:rsidRPr="00AF7D59">
        <w:rPr>
          <w:rFonts w:ascii="PT Astra Serif" w:hAnsi="PT Astra Serif" w:cs="Times New Roman"/>
        </w:rPr>
        <w:lastRenderedPageBreak/>
        <w:t xml:space="preserve">                                                                                </w:t>
      </w:r>
      <w:r w:rsidR="00935FDB" w:rsidRPr="00AF7D59">
        <w:rPr>
          <w:rFonts w:ascii="PT Astra Serif" w:hAnsi="PT Astra Serif" w:cs="Times New Roman"/>
          <w:sz w:val="22"/>
          <w:szCs w:val="22"/>
        </w:rPr>
        <w:t>П</w:t>
      </w:r>
      <w:r w:rsidRPr="00AF7D59">
        <w:rPr>
          <w:rFonts w:ascii="PT Astra Serif" w:eastAsia="Times New Roman" w:hAnsi="PT Astra Serif" w:cs="Times New Roman"/>
          <w:sz w:val="22"/>
          <w:szCs w:val="22"/>
        </w:rPr>
        <w:t>риложение № 1</w:t>
      </w:r>
    </w:p>
    <w:p w14:paraId="4EA3A48D" w14:textId="77777777" w:rsidR="00C013B4" w:rsidRPr="00AF7D59" w:rsidRDefault="002E6FC5">
      <w:pPr>
        <w:ind w:left="4840"/>
        <w:jc w:val="both"/>
        <w:rPr>
          <w:rFonts w:ascii="PT Astra Serif" w:eastAsia="Times New Roman" w:hAnsi="PT Astra Serif" w:cs="Times New Roman"/>
          <w:sz w:val="22"/>
          <w:szCs w:val="22"/>
        </w:rPr>
      </w:pPr>
      <w:r w:rsidRPr="00AF7D59">
        <w:rPr>
          <w:rFonts w:ascii="PT Astra Serif" w:eastAsia="Times New Roman" w:hAnsi="PT Astra Serif" w:cs="Times New Roman"/>
          <w:sz w:val="22"/>
          <w:szCs w:val="22"/>
        </w:rPr>
        <w:t>к решению Совета депутатов муниципального образования «Муниципальный округ Красногорский район Удмуртской Республики»</w:t>
      </w:r>
    </w:p>
    <w:p w14:paraId="76EC925B" w14:textId="3E061EB3" w:rsidR="00C013B4" w:rsidRPr="00AF7D59" w:rsidRDefault="002E6FC5">
      <w:pPr>
        <w:ind w:left="4840"/>
        <w:jc w:val="both"/>
        <w:rPr>
          <w:rFonts w:ascii="PT Astra Serif" w:eastAsia="Times New Roman" w:hAnsi="PT Astra Serif" w:cs="Times New Roman"/>
          <w:sz w:val="22"/>
          <w:szCs w:val="22"/>
        </w:rPr>
      </w:pPr>
      <w:r w:rsidRPr="00AF7D59">
        <w:rPr>
          <w:rFonts w:ascii="PT Astra Serif" w:eastAsia="Times New Roman" w:hAnsi="PT Astra Serif" w:cs="Times New Roman"/>
          <w:sz w:val="22"/>
          <w:szCs w:val="22"/>
        </w:rPr>
        <w:t>от «___» __________ 2024</w:t>
      </w:r>
      <w:r w:rsidR="00F30A81" w:rsidRPr="00AF7D59">
        <w:rPr>
          <w:rFonts w:ascii="PT Astra Serif" w:eastAsia="Times New Roman" w:hAnsi="PT Astra Serif" w:cs="Times New Roman"/>
          <w:sz w:val="22"/>
          <w:szCs w:val="22"/>
        </w:rPr>
        <w:t xml:space="preserve"> </w:t>
      </w:r>
      <w:r w:rsidRPr="00AF7D59">
        <w:rPr>
          <w:rFonts w:ascii="PT Astra Serif" w:eastAsia="Times New Roman" w:hAnsi="PT Astra Serif" w:cs="Times New Roman"/>
          <w:sz w:val="22"/>
          <w:szCs w:val="22"/>
        </w:rPr>
        <w:t>г. № ______</w:t>
      </w:r>
    </w:p>
    <w:p w14:paraId="6CB7A4CB" w14:textId="77777777" w:rsidR="00C013B4" w:rsidRPr="00AF7D59" w:rsidRDefault="00C013B4">
      <w:pPr>
        <w:jc w:val="both"/>
        <w:rPr>
          <w:rFonts w:ascii="PT Astra Serif" w:eastAsia="Times New Roman" w:hAnsi="PT Astra Serif" w:cs="Times New Roman"/>
          <w:b/>
          <w:bCs/>
        </w:rPr>
      </w:pPr>
    </w:p>
    <w:p w14:paraId="5C39E3C6" w14:textId="77777777" w:rsidR="00C013B4" w:rsidRPr="00AF7D59" w:rsidRDefault="00C013B4">
      <w:pPr>
        <w:pStyle w:val="ConsPlusTitle"/>
        <w:wordWrap w:val="0"/>
        <w:jc w:val="right"/>
        <w:rPr>
          <w:rFonts w:ascii="PT Astra Serif" w:hAnsi="PT Astra Serif" w:cs="PT Astra Serif"/>
          <w:sz w:val="24"/>
          <w:szCs w:val="24"/>
        </w:rPr>
      </w:pPr>
      <w:bookmarkStart w:id="0" w:name="P55"/>
      <w:bookmarkEnd w:id="0"/>
    </w:p>
    <w:p w14:paraId="33E40FA7" w14:textId="77777777" w:rsidR="00C013B4" w:rsidRPr="00AF7D59" w:rsidRDefault="00C013B4">
      <w:pPr>
        <w:pStyle w:val="ConsPlusTitle"/>
        <w:jc w:val="right"/>
        <w:rPr>
          <w:rFonts w:ascii="PT Astra Serif" w:hAnsi="PT Astra Serif" w:cs="PT Astra Serif"/>
          <w:b w:val="0"/>
          <w:bCs/>
          <w:sz w:val="24"/>
          <w:szCs w:val="24"/>
        </w:rPr>
      </w:pPr>
    </w:p>
    <w:p w14:paraId="62BEB0FF" w14:textId="77777777" w:rsidR="00C013B4" w:rsidRPr="00AF7D59" w:rsidRDefault="00C013B4">
      <w:pPr>
        <w:pStyle w:val="ConsPlusTitle"/>
        <w:jc w:val="center"/>
        <w:rPr>
          <w:rFonts w:ascii="PT Astra Serif" w:hAnsi="PT Astra Serif" w:cs="PT Astra Serif"/>
          <w:sz w:val="24"/>
          <w:szCs w:val="24"/>
        </w:rPr>
      </w:pPr>
    </w:p>
    <w:p w14:paraId="4899068B" w14:textId="77777777" w:rsidR="00C013B4" w:rsidRPr="00AF7D59" w:rsidRDefault="002E6FC5">
      <w:pPr>
        <w:pStyle w:val="ConsPlusTitle"/>
        <w:jc w:val="center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НОРМАТИВЫ</w:t>
      </w:r>
    </w:p>
    <w:p w14:paraId="319CEF85" w14:textId="77777777" w:rsidR="00C013B4" w:rsidRPr="00AF7D59" w:rsidRDefault="002E6FC5">
      <w:pPr>
        <w:pStyle w:val="ConsPlusTitle"/>
        <w:jc w:val="center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ГРАДОСТРОИТЕЛЬНОГО ПРОЕКТИРОВАНИЯ МУНИЦИПАЛЬНОГО ОБРАЗОВАНИЯ</w:t>
      </w:r>
    </w:p>
    <w:p w14:paraId="6C9D7FCE" w14:textId="77777777" w:rsidR="00C013B4" w:rsidRPr="00AF7D59" w:rsidRDefault="002E6FC5">
      <w:pPr>
        <w:pStyle w:val="ConsPlusTitle"/>
        <w:jc w:val="center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"МУНИЦИПАЛЬНЫЙ ОКРУГ КРАСНОГОРСКИЙ РАЙОН УДМУРТСКОЙ РЕСПУБЛИКИ"</w:t>
      </w:r>
    </w:p>
    <w:p w14:paraId="713CEE68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4992ED43" w14:textId="77777777" w:rsidR="00C013B4" w:rsidRPr="00AF7D59" w:rsidRDefault="002E6FC5">
      <w:pPr>
        <w:pStyle w:val="ConsPlusTitle"/>
        <w:jc w:val="center"/>
        <w:outlineLvl w:val="1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Раздел I. ОСНОВНАЯ ЧАСТЬ. РАСЧЕТНЫЕ ПОКАЗАТЕЛИ МИНИМАЛЬНО</w:t>
      </w:r>
    </w:p>
    <w:p w14:paraId="24A50952" w14:textId="77777777" w:rsidR="00C013B4" w:rsidRPr="00AF7D59" w:rsidRDefault="002E6FC5">
      <w:pPr>
        <w:pStyle w:val="ConsPlusTitle"/>
        <w:jc w:val="center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ДОПУСТИМОГО УРОВНЯ ОБЕСПЕЧЕННОСТИ ОБЪЕКТАМИ МЕСТНОГО</w:t>
      </w:r>
    </w:p>
    <w:p w14:paraId="6A634A6E" w14:textId="77777777" w:rsidR="00C013B4" w:rsidRPr="00AF7D59" w:rsidRDefault="002E6FC5">
      <w:pPr>
        <w:pStyle w:val="ConsPlusTitle"/>
        <w:jc w:val="center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ЗНАЧЕНИЯ МУНИЦИПАЛЬНОГО РАЙОНА И РАСЧЕТНЫЕ ПОКАЗАТЕЛИ</w:t>
      </w:r>
    </w:p>
    <w:p w14:paraId="7E2B4E46" w14:textId="77777777" w:rsidR="00C013B4" w:rsidRPr="00AF7D59" w:rsidRDefault="002E6FC5">
      <w:pPr>
        <w:pStyle w:val="ConsPlusTitle"/>
        <w:jc w:val="center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МАКСИМАЛЬНО ДОПУСТИМОГО УРОВНЯ ТЕРРИТОРИАЛЬНОЙ ДОСТУПНОСТИ</w:t>
      </w:r>
    </w:p>
    <w:p w14:paraId="5E66DE58" w14:textId="77777777" w:rsidR="00C013B4" w:rsidRPr="00AF7D59" w:rsidRDefault="002E6FC5">
      <w:pPr>
        <w:pStyle w:val="ConsPlusTitle"/>
        <w:jc w:val="center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ТАКИХ ОБЪЕКТОВ ДЛЯ НАСЕЛЕНИЯ МУНИЦИПАЛЬНОГО РАЙОНА</w:t>
      </w:r>
    </w:p>
    <w:p w14:paraId="2B6CCD2E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0808372E" w14:textId="77777777" w:rsidR="00C013B4" w:rsidRPr="00AF7D59" w:rsidRDefault="002E6FC5">
      <w:pPr>
        <w:pStyle w:val="ConsPlusTitle"/>
        <w:jc w:val="center"/>
        <w:outlineLvl w:val="2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1. Общие положения</w:t>
      </w:r>
    </w:p>
    <w:p w14:paraId="3E398E8B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411E3221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Подготовка нормативов градостроительного проектирования муниципального образования "Муниципальный округ Красногорский район Удмуртской Республики" (далее - нормативы) осуществлена на основании Градостроительного </w:t>
      </w:r>
      <w:hyperlink r:id="rId6">
        <w:r w:rsidRPr="00AF7D59">
          <w:rPr>
            <w:rFonts w:ascii="PT Astra Serif" w:hAnsi="PT Astra Serif" w:cs="PT Astra Serif"/>
            <w:color w:val="0000FF"/>
            <w:sz w:val="24"/>
            <w:szCs w:val="24"/>
          </w:rPr>
          <w:t>кодекса</w:t>
        </w:r>
      </w:hyperlink>
      <w:r w:rsidRPr="00AF7D59">
        <w:rPr>
          <w:rFonts w:ascii="PT Astra Serif" w:hAnsi="PT Astra Serif" w:cs="PT Astra Serif"/>
          <w:sz w:val="24"/>
          <w:szCs w:val="24"/>
        </w:rPr>
        <w:t xml:space="preserve"> Российской Федерации, </w:t>
      </w:r>
      <w:hyperlink r:id="rId7">
        <w:r w:rsidRPr="00AF7D59">
          <w:rPr>
            <w:rFonts w:ascii="PT Astra Serif" w:hAnsi="PT Astra Serif" w:cs="PT Astra Serif"/>
            <w:color w:val="0000FF"/>
            <w:sz w:val="24"/>
            <w:szCs w:val="24"/>
          </w:rPr>
          <w:t>Закона</w:t>
        </w:r>
      </w:hyperlink>
      <w:r w:rsidRPr="00AF7D59">
        <w:rPr>
          <w:rFonts w:ascii="PT Astra Serif" w:hAnsi="PT Astra Serif" w:cs="PT Astra Serif"/>
          <w:sz w:val="24"/>
          <w:szCs w:val="24"/>
        </w:rPr>
        <w:t xml:space="preserve"> Удмуртской Республики от 06.03.2014 N 3-РЗ "О градостроительной деятельности в Удмуртской Республике" и </w:t>
      </w:r>
      <w:hyperlink r:id="rId8">
        <w:r w:rsidRPr="00AF7D59">
          <w:rPr>
            <w:rFonts w:ascii="PT Astra Serif" w:hAnsi="PT Astra Serif" w:cs="PT Astra Serif"/>
            <w:color w:val="0000FF"/>
            <w:sz w:val="24"/>
            <w:szCs w:val="24"/>
          </w:rPr>
          <w:t>приказа</w:t>
        </w:r>
      </w:hyperlink>
      <w:r w:rsidRPr="00AF7D59">
        <w:rPr>
          <w:rFonts w:ascii="PT Astra Serif" w:hAnsi="PT Astra Serif" w:cs="PT Astra Serif"/>
          <w:sz w:val="24"/>
          <w:szCs w:val="24"/>
        </w:rPr>
        <w:t xml:space="preserve"> Минэкономразвития России от 15.02.2021 N 71.</w:t>
      </w:r>
    </w:p>
    <w:p w14:paraId="3E75E857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Нормативы разработаны в соответствии со </w:t>
      </w:r>
      <w:hyperlink r:id="rId9">
        <w:r w:rsidRPr="00AF7D59">
          <w:rPr>
            <w:rFonts w:ascii="PT Astra Serif" w:hAnsi="PT Astra Serif" w:cs="PT Astra Serif"/>
            <w:color w:val="0000FF"/>
            <w:sz w:val="24"/>
            <w:szCs w:val="24"/>
          </w:rPr>
          <w:t>статьей 8</w:t>
        </w:r>
      </w:hyperlink>
      <w:r w:rsidRPr="00AF7D59">
        <w:rPr>
          <w:rFonts w:ascii="PT Astra Serif" w:hAnsi="PT Astra Serif" w:cs="PT Astra Serif"/>
          <w:sz w:val="24"/>
          <w:szCs w:val="24"/>
        </w:rPr>
        <w:t xml:space="preserve"> Градостроительного кодекса Российской Федерации в целях реализации полномочий Администрации муниципального образования "Муниципальный округ Красногорский район Удмуртской Республики" и включения нормативов в систему нормативных документов, регламентирующих градостроительную деятельность на территории муниципального образования "Муниципальный округ Красногорский район Удмуртской Республики" (далее - Красногорский район, муниципальный район).</w:t>
      </w:r>
    </w:p>
    <w:p w14:paraId="4C5F2EF7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Нормативы устанавливают совокупность расчетных показателей минимально допустимого уровня обеспеченности объектами местного значения Красногорского района и расчетных показателей максимально допустимого уровня территориальной доступности таких объектов для населения Красногорского района в целях обеспечения благоприятных условий жизнедеятельности населения (далее - совокупность расчетных показателей, расчетные показатели).</w:t>
      </w:r>
    </w:p>
    <w:p w14:paraId="7A99A001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Расчетные показатели минимально допустимого уровня обеспеченности объектами местного значения населения Красногорского района, устанавливаемые настоящими нормативами, приняты не ниже предельных значений расчетных показателей минимально допустимого уровня обеспеченности, установленных в </w:t>
      </w:r>
      <w:hyperlink r:id="rId10">
        <w:r w:rsidRPr="00AF7D59">
          <w:rPr>
            <w:rFonts w:ascii="PT Astra Serif" w:hAnsi="PT Astra Serif" w:cs="PT Astra Serif"/>
            <w:color w:val="0000FF"/>
            <w:sz w:val="24"/>
            <w:szCs w:val="24"/>
          </w:rPr>
          <w:t>Нормативах</w:t>
        </w:r>
      </w:hyperlink>
      <w:r w:rsidRPr="00AF7D59">
        <w:rPr>
          <w:rFonts w:ascii="PT Astra Serif" w:hAnsi="PT Astra Serif" w:cs="PT Astra Serif"/>
          <w:sz w:val="24"/>
          <w:szCs w:val="24"/>
        </w:rPr>
        <w:t xml:space="preserve"> градостроительного проектирования Удмуртской Республики, утвержденных постановлением Правительства Удмуртской Республики от 04.06.2019 N 228 (далее - Нормативы градостроительного проектирования Республики).</w:t>
      </w:r>
    </w:p>
    <w:p w14:paraId="729C443D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Расчетные показатели максимально допустимого уровня территориальной доступности объектов местного значения для населения Красногорского района, устанавливаемые настоящими нормативами, приняты не выше предельных значений расчетных показателей максимально допустимого уровня территориальной доступности, установленных в Нормативах градостроительного проектирования Удмуртской Республики.</w:t>
      </w:r>
    </w:p>
    <w:p w14:paraId="6FF2DE5B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lastRenderedPageBreak/>
        <w:t>Нормативы разработаны в соответствии с требованиями законодательства о градостроительной деятельности Российской Федерации и Удмуртской Республики, технических регламентов, нормативных документов, регулирующих градостроительство. При отмене и/или изменении действующих нормативных документов, в том числе тех, на которые дается ссылка в настоящих нормах, следует руководствоваться нормами, вводимыми взамен отмененных.</w:t>
      </w:r>
    </w:p>
    <w:p w14:paraId="53492F2F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Применение настоящих нормативов не заменяет и не исключает применения требований технических регламентов, национальных стандартов, сводов правил, правил и требований, установленных органами государственного контроля (надзора).</w:t>
      </w:r>
    </w:p>
    <w:p w14:paraId="39A40E18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Настоящие нормативы устанавливают требования, обязательные для всех субъектов градостроительных отношений, осуществляющих свою деятельность на территории Красногорского района Удмуртской Республики, независимо от их организационно-правовой формы.</w:t>
      </w:r>
    </w:p>
    <w:p w14:paraId="65BD7766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По расчетным показателям, содержащим указание на рекомендательное применение, допускается отклонение от установленных значений при условии дополнительного обоснования причин и размеров отклонений, в том числе в материалах по обоснованию документов территориального планирования и (или) документации по планировке территории.</w:t>
      </w:r>
    </w:p>
    <w:p w14:paraId="309A653D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При отсутствии расчетных показателей для отдельных объектов следует руководствоваться Нормативами градостроительного проектирования Удмуртской Республики, нормативными правовыми и нормативно-техническими документами Российской Федерации.</w:t>
      </w:r>
    </w:p>
    <w:p w14:paraId="2E2A9F31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3429DFF6" w14:textId="77777777" w:rsidR="00C013B4" w:rsidRPr="00AF7D59" w:rsidRDefault="002E6FC5">
      <w:pPr>
        <w:pStyle w:val="ConsPlusTitle"/>
        <w:jc w:val="center"/>
        <w:outlineLvl w:val="2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2. Перечень объектов местного значения</w:t>
      </w:r>
    </w:p>
    <w:p w14:paraId="4581ACF2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1AD48BD2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Объекты местного значения муниципального района, отображаемые в генеральном плане сельского поселения, определяются в соответствии с требованиями Градостроительного </w:t>
      </w:r>
      <w:hyperlink r:id="rId11">
        <w:r w:rsidRPr="00AF7D59">
          <w:rPr>
            <w:rFonts w:ascii="PT Astra Serif" w:hAnsi="PT Astra Serif" w:cs="PT Astra Serif"/>
            <w:color w:val="0000FF"/>
            <w:sz w:val="24"/>
            <w:szCs w:val="24"/>
          </w:rPr>
          <w:t>кодекса</w:t>
        </w:r>
      </w:hyperlink>
      <w:r w:rsidRPr="00AF7D59">
        <w:rPr>
          <w:rFonts w:ascii="PT Astra Serif" w:hAnsi="PT Astra Serif" w:cs="PT Astra Serif"/>
          <w:sz w:val="24"/>
          <w:szCs w:val="24"/>
        </w:rPr>
        <w:t xml:space="preserve"> Российской Федерации, Федерального </w:t>
      </w:r>
      <w:hyperlink r:id="rId12">
        <w:r w:rsidRPr="00AF7D59">
          <w:rPr>
            <w:rFonts w:ascii="PT Astra Serif" w:hAnsi="PT Astra Serif" w:cs="PT Astra Serif"/>
            <w:color w:val="0000FF"/>
            <w:sz w:val="24"/>
            <w:szCs w:val="24"/>
          </w:rPr>
          <w:t>закона</w:t>
        </w:r>
      </w:hyperlink>
      <w:r w:rsidRPr="00AF7D59">
        <w:rPr>
          <w:rFonts w:ascii="PT Astra Serif" w:hAnsi="PT Astra Serif" w:cs="PT Astra Serif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 и </w:t>
      </w:r>
      <w:hyperlink r:id="rId13">
        <w:r w:rsidRPr="00AF7D59">
          <w:rPr>
            <w:rFonts w:ascii="PT Astra Serif" w:hAnsi="PT Astra Serif" w:cs="PT Astra Serif"/>
            <w:color w:val="0000FF"/>
            <w:sz w:val="24"/>
            <w:szCs w:val="24"/>
          </w:rPr>
          <w:t>Закона</w:t>
        </w:r>
      </w:hyperlink>
      <w:r w:rsidRPr="00AF7D59">
        <w:rPr>
          <w:rFonts w:ascii="PT Astra Serif" w:hAnsi="PT Astra Serif" w:cs="PT Astra Serif"/>
          <w:sz w:val="24"/>
          <w:szCs w:val="24"/>
        </w:rPr>
        <w:t xml:space="preserve"> Удмуртской Республики от 06.03.2014 N 3-РЗ "О градостроительной деятельности в Удмуртской Республике".</w:t>
      </w:r>
    </w:p>
    <w:p w14:paraId="6704AAD6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Расчетные показатели минимально допустимого уровня обеспеченности и максимально допустимого уровня территориальной доступности объектов местного значения, подлежащих отображению в схеме территориального планирования муниципального района, приведены в соответствующих разделах настоящих нормативов.</w:t>
      </w:r>
    </w:p>
    <w:p w14:paraId="391AD2BF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5513BEA7" w14:textId="77777777" w:rsidR="00C013B4" w:rsidRPr="00AF7D59" w:rsidRDefault="002E6FC5">
      <w:pPr>
        <w:pStyle w:val="ConsPlusTitle"/>
        <w:jc w:val="center"/>
        <w:outlineLvl w:val="2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3. Функциональное зонирование территории</w:t>
      </w:r>
    </w:p>
    <w:p w14:paraId="718601A1" w14:textId="77777777" w:rsidR="00C013B4" w:rsidRPr="00AF7D59" w:rsidRDefault="002E6FC5">
      <w:pPr>
        <w:pStyle w:val="ConsPlusTitle"/>
        <w:jc w:val="center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Муниципального района</w:t>
      </w:r>
    </w:p>
    <w:p w14:paraId="3CF96C15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47B43F5D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При территориальном планировании отображаются границы муниципального района и входящих в его состав поселений. При подготовке схемы территориального планирования муниципального район функциональное зонирование осуществляется в границах межселенных территорий.</w:t>
      </w:r>
    </w:p>
    <w:p w14:paraId="68EFB58A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При подготовке схемы территориального планирования Красногорского района функциональное зонирование его территорий не осуществляется в связи с отсутствием в границах муниципального образования межселенных территорий.</w:t>
      </w:r>
    </w:p>
    <w:p w14:paraId="4F145868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Зонирование территории муниципального района осуществляет с учетом системы формируемых центров обслуживания и зон их влияния.</w:t>
      </w:r>
    </w:p>
    <w:p w14:paraId="5A906F7D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В целях создания экономически целесообразной ступенчатой системы культурно-бытового обслуживания населения муниципального района за основу при определении состава объектов обслуживания, размещаемых на территории муниципального района, принимается </w:t>
      </w:r>
      <w:r w:rsidRPr="00AF7D59">
        <w:rPr>
          <w:rFonts w:ascii="PT Astra Serif" w:hAnsi="PT Astra Serif" w:cs="PT Astra Serif"/>
          <w:sz w:val="24"/>
          <w:szCs w:val="24"/>
        </w:rPr>
        <w:lastRenderedPageBreak/>
        <w:t>периодичность посещения различных объектов. Всего выделяется три уровня периодичности посещения с учетом обеспеченности объектами обслуживания, которые приведены в таблице 3.1.</w:t>
      </w:r>
    </w:p>
    <w:p w14:paraId="7211E2DA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3338BA3C" w14:textId="77777777" w:rsidR="00C013B4" w:rsidRPr="00AF7D59" w:rsidRDefault="002E6FC5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Таблица 3.1</w:t>
      </w:r>
    </w:p>
    <w:p w14:paraId="224D5F26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7544"/>
      </w:tblGrid>
      <w:tr w:rsidR="00C013B4" w:rsidRPr="00AF7D59" w14:paraId="63D4C765" w14:textId="77777777">
        <w:tc>
          <w:tcPr>
            <w:tcW w:w="2211" w:type="dxa"/>
          </w:tcPr>
          <w:p w14:paraId="0D47F5FF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Наименование уровня</w:t>
            </w:r>
          </w:p>
        </w:tc>
        <w:tc>
          <w:tcPr>
            <w:tcW w:w="7544" w:type="dxa"/>
          </w:tcPr>
          <w:p w14:paraId="1CB4EC2A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Нормативные параметры</w:t>
            </w:r>
          </w:p>
        </w:tc>
      </w:tr>
      <w:tr w:rsidR="00C013B4" w:rsidRPr="00AF7D59" w14:paraId="618CB3B0" w14:textId="77777777">
        <w:tc>
          <w:tcPr>
            <w:tcW w:w="2211" w:type="dxa"/>
          </w:tcPr>
          <w:p w14:paraId="74F25A1C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Повседневное обслуживание</w:t>
            </w:r>
          </w:p>
        </w:tc>
        <w:tc>
          <w:tcPr>
            <w:tcW w:w="7544" w:type="dxa"/>
          </w:tcPr>
          <w:p w14:paraId="1077DE02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Объекты, посещаемые населением не реже одного раза в неделю, или те, которые должны быть расположены в непосредственной близости к местам проживания и работы населения. Данные объекты должны обслуживать население, проживающее в радиусе пешеходной (транспортной) доступности 10 - 20 минут от них, а также за счет выездных форм</w:t>
            </w:r>
          </w:p>
        </w:tc>
      </w:tr>
      <w:tr w:rsidR="00C013B4" w:rsidRPr="00AF7D59" w14:paraId="5E497F30" w14:textId="77777777">
        <w:tc>
          <w:tcPr>
            <w:tcW w:w="2211" w:type="dxa"/>
          </w:tcPr>
          <w:p w14:paraId="6DD65348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Периодическое обслуживание</w:t>
            </w:r>
          </w:p>
        </w:tc>
        <w:tc>
          <w:tcPr>
            <w:tcW w:w="7544" w:type="dxa"/>
          </w:tcPr>
          <w:p w14:paraId="5245E405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Объекты, посещаемые населением не реже одного раза в месяц. На перспективу данные объекты должны размещаться в районном центре, центрах и подцентрах системы расселения и обслуживать население, проживающее в пределах транспортной доступности 30 мин. - 2 ч.</w:t>
            </w:r>
          </w:p>
        </w:tc>
      </w:tr>
      <w:tr w:rsidR="00C013B4" w:rsidRPr="00AF7D59" w14:paraId="5080EF54" w14:textId="77777777">
        <w:tc>
          <w:tcPr>
            <w:tcW w:w="2211" w:type="dxa"/>
          </w:tcPr>
          <w:p w14:paraId="44A13971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Эпизодическое обслуживание</w:t>
            </w:r>
          </w:p>
        </w:tc>
        <w:tc>
          <w:tcPr>
            <w:tcW w:w="7544" w:type="dxa"/>
          </w:tcPr>
          <w:p w14:paraId="78257831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Объекты, посещаемые населением муниципального района реже одного раза в месяц. Размещаются в республиканском центре, межрайонных центрах обслуживания. Радиус территориальной доступности - не более 2 ч.</w:t>
            </w:r>
          </w:p>
        </w:tc>
      </w:tr>
    </w:tbl>
    <w:p w14:paraId="7D6A4958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718CC162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С учетом установленных уровней обслуживания населения в Красногорском районе следует формировать многофункциональную систему обслуживания в соответствии с таблицей 3.2.</w:t>
      </w:r>
    </w:p>
    <w:p w14:paraId="3FE3B5BA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1DBF746B" w14:textId="77777777" w:rsidR="00C013B4" w:rsidRPr="00AF7D59" w:rsidRDefault="002E6FC5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Таблица 3.2</w:t>
      </w:r>
    </w:p>
    <w:p w14:paraId="54E1EA29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7529"/>
      </w:tblGrid>
      <w:tr w:rsidR="00C013B4" w:rsidRPr="00AF7D59" w14:paraId="3B442FE7" w14:textId="77777777">
        <w:tc>
          <w:tcPr>
            <w:tcW w:w="2211" w:type="dxa"/>
          </w:tcPr>
          <w:p w14:paraId="79E1170F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Наименование центра обслуживания</w:t>
            </w:r>
          </w:p>
        </w:tc>
        <w:tc>
          <w:tcPr>
            <w:tcW w:w="7529" w:type="dxa"/>
          </w:tcPr>
          <w:p w14:paraId="4B3E976E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Нормативные параметры</w:t>
            </w:r>
          </w:p>
        </w:tc>
      </w:tr>
      <w:tr w:rsidR="00C013B4" w:rsidRPr="00AF7D59" w14:paraId="22DE8BFD" w14:textId="77777777">
        <w:tc>
          <w:tcPr>
            <w:tcW w:w="2211" w:type="dxa"/>
          </w:tcPr>
          <w:p w14:paraId="41EE7BB2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Центр муниципального района (с. Красногорское)</w:t>
            </w:r>
          </w:p>
        </w:tc>
        <w:tc>
          <w:tcPr>
            <w:tcW w:w="7529" w:type="dxa"/>
          </w:tcPr>
          <w:p w14:paraId="750C4024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Центр должен концентрировать объекты повседневного и периодического обслуживания населения муниципального района в радиусе транспортной доступности 1,5 - 2 ч.</w:t>
            </w:r>
          </w:p>
          <w:p w14:paraId="7205952B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При превышении этого радиуса следует создавать подцентры обслуживания.</w:t>
            </w:r>
          </w:p>
          <w:p w14:paraId="5B3888A2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Уровень центра - набор ряда объектов для повседневного и периодического обслуживания населения</w:t>
            </w:r>
          </w:p>
        </w:tc>
      </w:tr>
      <w:tr w:rsidR="00C013B4" w:rsidRPr="00AF7D59" w14:paraId="6650F7FA" w14:textId="77777777">
        <w:tc>
          <w:tcPr>
            <w:tcW w:w="2211" w:type="dxa"/>
          </w:tcPr>
          <w:p w14:paraId="4EAD3A48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Центр территориального управления</w:t>
            </w:r>
          </w:p>
        </w:tc>
        <w:tc>
          <w:tcPr>
            <w:tcW w:w="7529" w:type="dxa"/>
          </w:tcPr>
          <w:p w14:paraId="66A1C009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Уровень центра - полный набор объектов повседневного обслуживания, расположенных в непосредственной близости к местам проживания и работы населения. Радиус обслуживания - в пределах 10 - 20-минутной пешеходно-транспортной доступности</w:t>
            </w:r>
          </w:p>
        </w:tc>
      </w:tr>
      <w:tr w:rsidR="00C013B4" w:rsidRPr="00AF7D59" w14:paraId="1A243854" w14:textId="77777777">
        <w:tc>
          <w:tcPr>
            <w:tcW w:w="2211" w:type="dxa"/>
          </w:tcPr>
          <w:p w14:paraId="4B462270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Центр территориального отдела</w:t>
            </w:r>
          </w:p>
        </w:tc>
        <w:tc>
          <w:tcPr>
            <w:tcW w:w="7529" w:type="dxa"/>
          </w:tcPr>
          <w:p w14:paraId="5CA3FCC0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Уровень центра - полный набор объектов повседневного обслуживания, расположенных в непосредственной близости к местам проживания и работы населения. Радиус обслуживания - в пределах 10 - 20-минутной пешеходно-транспортной доступности</w:t>
            </w:r>
          </w:p>
        </w:tc>
      </w:tr>
    </w:tbl>
    <w:p w14:paraId="7A91BB8A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43D492D8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При функциональном зонировании территории муниципального образования учитываются зоны с особыми условиями использования территорий, из перечня установленных в соответствии с законодательством Российской Федерации:</w:t>
      </w:r>
    </w:p>
    <w:p w14:paraId="4D125018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lastRenderedPageBreak/>
        <w:t>1) зоны охраны объектов культурного наследия;</w:t>
      </w:r>
    </w:p>
    <w:p w14:paraId="52978A93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2) защитная зона объекта культурного наследия;</w:t>
      </w:r>
    </w:p>
    <w:p w14:paraId="1AAC0BC9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3) охранная зона объектов электроэнергетики (объектов электросетевого хозяйства и объектов по производству электрической энергии);</w:t>
      </w:r>
    </w:p>
    <w:p w14:paraId="554CE473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4) придорожные полосы автомобильных дорог;</w:t>
      </w:r>
    </w:p>
    <w:p w14:paraId="01E50618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5) охранная зона трубопроводов (газопроводов, нефтепроводов и нефтепродуктопроводов, аммиакопроводов);</w:t>
      </w:r>
    </w:p>
    <w:p w14:paraId="4A2772ED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6) охранная зона линий и сооружений связи;</w:t>
      </w:r>
    </w:p>
    <w:p w14:paraId="6670CE61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7) зона охраняемого объекта;</w:t>
      </w:r>
    </w:p>
    <w:p w14:paraId="10AA5FBE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8) охранная зона особо охраняемой природной территории (государственного природного заповедника, национального парка, природного парка, памятника природы);</w:t>
      </w:r>
    </w:p>
    <w:p w14:paraId="7327C334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9) водоохранная (рыбоохранная) зона;</w:t>
      </w:r>
    </w:p>
    <w:p w14:paraId="57789128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10) прибрежная защитная полоса;</w:t>
      </w:r>
    </w:p>
    <w:p w14:paraId="4765A1B1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11) округ санитарной (горно-санитарной) охраны лечебно-оздоровительных местностей, курортов и природных лечебных ресурсов;</w:t>
      </w:r>
    </w:p>
    <w:p w14:paraId="20F8EE4D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12) зоны санитарной охраны источников питьевого и хозяйственно-бытового водоснабжения, а также устанавливаемые в случаях, предусмотренных Водным </w:t>
      </w:r>
      <w:hyperlink r:id="rId14">
        <w:r w:rsidRPr="00AF7D59">
          <w:rPr>
            <w:rFonts w:ascii="PT Astra Serif" w:hAnsi="PT Astra Serif" w:cs="PT Astra Serif"/>
            <w:color w:val="0000FF"/>
            <w:sz w:val="24"/>
            <w:szCs w:val="24"/>
          </w:rPr>
          <w:t>кодексом</w:t>
        </w:r>
      </w:hyperlink>
      <w:r w:rsidRPr="00AF7D59">
        <w:rPr>
          <w:rFonts w:ascii="PT Astra Serif" w:hAnsi="PT Astra Serif" w:cs="PT Astra Serif"/>
          <w:sz w:val="24"/>
          <w:szCs w:val="24"/>
        </w:rPr>
        <w:t xml:space="preserve"> Российской Федерации, в отношении подземных водных объектов зоны специальной охраны;</w:t>
      </w:r>
    </w:p>
    <w:p w14:paraId="08DAC223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13) зоны затопления и подтопления;</w:t>
      </w:r>
    </w:p>
    <w:p w14:paraId="4B567B1A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14) санитарно-защитная зона;</w:t>
      </w:r>
    </w:p>
    <w:p w14:paraId="4FBD6BBC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15) охранная зона пунктов государственной геодезической сети, государственной нивелирной сети и государственной гравиметрической сети;</w:t>
      </w:r>
    </w:p>
    <w:p w14:paraId="30DAFC97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16) зона наблюдения;</w:t>
      </w:r>
    </w:p>
    <w:p w14:paraId="5C18F8E8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17) зона безопасности с особым правовым режимом;</w:t>
      </w:r>
    </w:p>
    <w:p w14:paraId="4511C422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18) рыбохозяйственная заповедная зона;</w:t>
      </w:r>
    </w:p>
    <w:p w14:paraId="559E1CC0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19) зона минимальных расстояний до магистральных или промышленных трубопроводов (газопроводов, нефтепроводов и нефтепродуктопроводов, аммиакопроводов);</w:t>
      </w:r>
    </w:p>
    <w:p w14:paraId="2DC1C7C5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20) охранная зона тепловых сетей.</w:t>
      </w:r>
    </w:p>
    <w:p w14:paraId="7E19981F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Границы зон с особыми условиями использования территорий, в том числе границы территорий объектов культурного наследия, устанавливаемые в соответствии с законодательством Российской Федерации, могут не совпадать с границами функциональных зон, установленных </w:t>
      </w:r>
      <w:proofErr w:type="gramStart"/>
      <w:r w:rsidRPr="00AF7D59">
        <w:rPr>
          <w:rFonts w:ascii="PT Astra Serif" w:hAnsi="PT Astra Serif" w:cs="PT Astra Serif"/>
          <w:sz w:val="24"/>
          <w:szCs w:val="24"/>
        </w:rPr>
        <w:t>на территорий</w:t>
      </w:r>
      <w:proofErr w:type="gramEnd"/>
      <w:r w:rsidRPr="00AF7D59">
        <w:rPr>
          <w:rFonts w:ascii="PT Astra Serif" w:hAnsi="PT Astra Serif" w:cs="PT Astra Serif"/>
          <w:sz w:val="24"/>
          <w:szCs w:val="24"/>
        </w:rPr>
        <w:t xml:space="preserve"> поселений муниципального района.</w:t>
      </w:r>
    </w:p>
    <w:p w14:paraId="36EDC902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Перспективы развития Красногорского района Удмуртской Республики и входящих в его состав сельских поселений в документах территориального планирования (схеме территориального планирования муниципального района, генеральных планах поселений) с учетом потребности в резервных территориях.</w:t>
      </w:r>
    </w:p>
    <w:p w14:paraId="5B45335B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При составлении баланса существующего и проектного использования территорий </w:t>
      </w:r>
      <w:r w:rsidRPr="00AF7D59">
        <w:rPr>
          <w:rFonts w:ascii="PT Astra Serif" w:hAnsi="PT Astra Serif" w:cs="PT Astra Serif"/>
          <w:sz w:val="24"/>
          <w:szCs w:val="24"/>
        </w:rPr>
        <w:lastRenderedPageBreak/>
        <w:t>поселений следует учитывать резервные территории.</w:t>
      </w:r>
    </w:p>
    <w:p w14:paraId="08D01DE7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После утверждения границ резервных территорий они приобретают статус территорий с особым режимом землепользования и не подлежат застройке капитальными зданиями и сооружениями, функциональное назначение которых не соответствует утвержденным документам территориального планирования.</w:t>
      </w:r>
    </w:p>
    <w:p w14:paraId="3317D35A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Включение земельных участков в состав резервных территорий не влечет прекращения или изменения прав на такие земельные участки у их правообладателей до изъятия этих земельных участков для государственных или муниципальных нужд в порядке, установленном законодательством.</w:t>
      </w:r>
    </w:p>
    <w:p w14:paraId="3413F285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7C4BB573" w14:textId="77777777" w:rsidR="00C013B4" w:rsidRPr="00AF7D59" w:rsidRDefault="002E6FC5">
      <w:pPr>
        <w:pStyle w:val="ConsPlusTitle"/>
        <w:jc w:val="center"/>
        <w:outlineLvl w:val="2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4. Расчетные показатели объектов местного значения</w:t>
      </w:r>
    </w:p>
    <w:p w14:paraId="7F7CF482" w14:textId="77777777" w:rsidR="00C013B4" w:rsidRPr="00AF7D59" w:rsidRDefault="002E6FC5">
      <w:pPr>
        <w:pStyle w:val="ConsPlusTitle"/>
        <w:jc w:val="center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муниципального района</w:t>
      </w:r>
    </w:p>
    <w:p w14:paraId="77BD299E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2EF27F1F" w14:textId="77777777" w:rsidR="00C013B4" w:rsidRPr="00AF7D59" w:rsidRDefault="002E6FC5">
      <w:pPr>
        <w:pStyle w:val="ConsPlusNormal"/>
        <w:jc w:val="center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Объекты инженерной инфраструктуры</w:t>
      </w:r>
    </w:p>
    <w:p w14:paraId="28039152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2BEAAE16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Объекты инженерной инфраструктуры подразделяются на следующие типы: объекты водоснабжения, объекты водоотведения сточных вод, поверхностных сточных вод и дренажных вод, объекты тепло-, энергоснабжения, объекты электроснабжения, объекты газоснабжения, связи, радиовещания и телевидения, пожарной и охранной сигнализации.</w:t>
      </w:r>
    </w:p>
    <w:p w14:paraId="65255DC7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Объекты инженерной инфраструктуры каждого типа подразделяются на линейные объекты и сооружения.</w:t>
      </w:r>
    </w:p>
    <w:p w14:paraId="658B88B0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Инженерные системы следует рассчитывать исходя из соответствующих нормативов расчетной плотности населения, принятой на расчетный срок, удельного среднесуточного норматива потребления и общей площади жилой застройки, определяемой документацией.</w:t>
      </w:r>
    </w:p>
    <w:p w14:paraId="3507A945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Инженерные сети следует размещать преимущественно в пределах поперечных профилей улиц и дорог:</w:t>
      </w:r>
    </w:p>
    <w:p w14:paraId="01F59409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- под тротуарами или разделительными полосами - инженерные сети в коллекторах, каналах или тоннелях;</w:t>
      </w:r>
    </w:p>
    <w:p w14:paraId="453CDA30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- в разделительных полосах - тепловые сети, водопровод, газопровод, хозяйственную и дождевую канализацию.</w:t>
      </w:r>
    </w:p>
    <w:p w14:paraId="4A8B30C4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На полосе между красной линией и линией застройки следует размещать газовые</w:t>
      </w:r>
    </w:p>
    <w:p w14:paraId="58DAAB10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сети низкого давления и кабельные сети (силовые, связи, сигнализации и диспетчеризации).</w:t>
      </w:r>
    </w:p>
    <w:p w14:paraId="57E1792D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Применение открытых водоотводящих устройств - канав, кюветов, лотков допускается в районах одно-, двухэтажной застройки, а также на территории парков с устройством мостиков или труб на пересечении с улицами, дорогами, проездами и тротуарами.</w:t>
      </w:r>
    </w:p>
    <w:p w14:paraId="7FF2908E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Охранные зоны наземных и надземных инженерных коммуникаций (трубопроводов) и сооружений устанавливаются по обе стороны от наружной стенки трубы или конструкции линейного объекта и ограждения сооружения на поверхность участка земли и воздушного пространства на высоту, соответствующую высоте конструкции.</w:t>
      </w:r>
    </w:p>
    <w:p w14:paraId="17A0964B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Охранная зона вдоль воздушных линий электропередачи (ВЛ) устанавливается в виде воздушного пространства над землей, ограниченного параллельными вертикальными плоскостями, отстоящими по обе стороны линии на расстояние от крайних проводов по горизонтали в зависимости от проектного номинального класса напряжения.</w:t>
      </w:r>
    </w:p>
    <w:p w14:paraId="06B274B8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Охранная зона вдоль подземных кабельных линий электропередачи устанавливается в виде </w:t>
      </w:r>
      <w:r w:rsidRPr="00AF7D59">
        <w:rPr>
          <w:rFonts w:ascii="PT Astra Serif" w:hAnsi="PT Astra Serif" w:cs="PT Astra Serif"/>
          <w:sz w:val="24"/>
          <w:szCs w:val="24"/>
        </w:rPr>
        <w:lastRenderedPageBreak/>
        <w:t>участка земли, ограниченного параллельными вертикальными плоскостями, отстоящими по обе стороны линии на расстоянии по горизонтали 1 м от крайних кабелей.</w:t>
      </w:r>
    </w:p>
    <w:p w14:paraId="07347689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Охранные зоны инженерных коммуникаций и сооружений, порядок и условия использования территории в их границах устанавливаются соответствующими правилами охраны.</w:t>
      </w:r>
    </w:p>
    <w:p w14:paraId="02B42863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Условия и правила использования территории зоны санитарной охраны сооружений и санитарно-защитных полос линейных объектов системы водоснабжения определяются федеральным законодательством в области охраны источников питьевого водоснабжения.</w:t>
      </w:r>
    </w:p>
    <w:p w14:paraId="547DFD6F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Размещение подземных инженерных коммуникаций по отношению к зданиям, сооружениям, зеленым насаждениям и их взаимное расположение должны исключать возможность подмыва оснований фундаментов зданий и сооружений, повреждения близко расположенных сетей и зеленых насаждений, а также обеспечивать возможность ремонта сетей без затруднений для движения городского транспорта.</w:t>
      </w:r>
    </w:p>
    <w:p w14:paraId="00707042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Расстояния по горизонтали от крайних проводов вновь сооружаемых ВЛ при не отклоненном их положении до границ земельных участков жилых и общественных зданий, до детских игровых площадок, площадок отдыха и занятий физкультурой, хозяйственных площадок или до ближайших выступающих частей жилых и общественных зданий при отсутствии земельных участков со стороны прохождения ВЛ, а также до границ приусадебных земельных участков индивидуальных домов и коллективных садовых участков должны быть не менее расстояний для охранных зон ВЛ соответствующих напряжений.</w:t>
      </w:r>
    </w:p>
    <w:p w14:paraId="748F51CA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Прохождение ВЛ над зданиями и сооружениями, не допускается.</w:t>
      </w:r>
    </w:p>
    <w:p w14:paraId="3941ACF8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Прохождение ВЛ по территориям стадионов, учебных и детских учреждений не допускается.</w:t>
      </w:r>
    </w:p>
    <w:p w14:paraId="27956B67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В охранной зоне и зоне санитарной охраны (санитарно-защитной полосе) инженерных коммуникаций и сооружений без согласования с их правообладателем, а также органами, осуществляющими контроль и надзор за состоянием, содержанием и эксплуатацией объектов инженерной инфраструктуры, запрещается размещать объекты капитального и некапитального строительства (в том числе плоскостные - открытые стоянки автотранспорта, спортивные и детские площадки, площадки для отдыха и т.п.), осуществлять работы по благоустройству, озеленению и вертикальной планировке территории без проведения мероприятий, направленных на защиту и обеспечение условий безопасного функционирования объектов инженерной инфраструктуры.</w:t>
      </w:r>
    </w:p>
    <w:p w14:paraId="2A4628EF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Земельные участки, которые включены в состав охранных зон инженерных коммуникаций, санитарно-защитных полос и зон санитарной охраны, у собственников земельных участков, землепользователей, землевладельцев и арендаторов земельных участков не изымаются, но в их границах может быть введен особый режим их использования, ограничивающий или запрещающий те виды деятельности, которые несовместимы с целями установления зон.</w:t>
      </w:r>
    </w:p>
    <w:p w14:paraId="609D1C7C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Комплексы водопроводных сооружений для подготовки и хранения питьевой воды (станции водоподготовки (СВ), водозаборные узлы поверхностной и подземной воды, водорегулирующие узлы) размещаются на специально выделенных для целей водоснабжения территориях зон инженерной инфраструктуры, вне территории промышленных предприятий или жилой застройки, за границей санитарно-защитных зон объектов производственно-коммунального назначения.</w:t>
      </w:r>
    </w:p>
    <w:p w14:paraId="065A9BB7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Линейные объекты системы водоснабжения (водопроводные сети) размещаются </w:t>
      </w:r>
      <w:proofErr w:type="spellStart"/>
      <w:r w:rsidRPr="00AF7D59">
        <w:rPr>
          <w:rFonts w:ascii="PT Astra Serif" w:hAnsi="PT Astra Serif" w:cs="PT Astra Serif"/>
          <w:sz w:val="24"/>
          <w:szCs w:val="24"/>
        </w:rPr>
        <w:t>подземно</w:t>
      </w:r>
      <w:proofErr w:type="spellEnd"/>
      <w:r w:rsidRPr="00AF7D59">
        <w:rPr>
          <w:rFonts w:ascii="PT Astra Serif" w:hAnsi="PT Astra Serif" w:cs="PT Astra Serif"/>
          <w:sz w:val="24"/>
          <w:szCs w:val="24"/>
        </w:rPr>
        <w:t>.</w:t>
      </w:r>
    </w:p>
    <w:p w14:paraId="5D1466B6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При проектировании линейных объектов системы водоснабжения следует руководствоваться СП 31.13330.2012 "Свод правил. Водоснабжение. Наружные сети и </w:t>
      </w:r>
      <w:r w:rsidRPr="00AF7D59">
        <w:rPr>
          <w:rFonts w:ascii="PT Astra Serif" w:hAnsi="PT Astra Serif" w:cs="PT Astra Serif"/>
          <w:sz w:val="24"/>
          <w:szCs w:val="24"/>
        </w:rPr>
        <w:lastRenderedPageBreak/>
        <w:t>сооружения. Актуализированная редакция СНиП 2.04.02-84".</w:t>
      </w:r>
    </w:p>
    <w:p w14:paraId="72B54CE6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Снабжение зданий с постоянным и временным пребыванием людей питьевой водой должно быть предусмотрено от централизованной сети водоснабжения. В районах без централизованных инженерных сетей для зданий до 3 этажей, а также павильонов (с требуемым наличием источника водоснабжения) допускается предусматривать индивидуальные и коллективные источники водоснабжения из подземных водоносных горизонтов или из водоемов из расчета суточного расхода хозяйственно-питьевой воды не менее 60 л на человека.</w:t>
      </w:r>
    </w:p>
    <w:p w14:paraId="30540C44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Соединение сетей хозяйственно-питьевого водопровода с сетями водопроводов, подающих воду не питьевого качества, не допускается.</w:t>
      </w:r>
    </w:p>
    <w:p w14:paraId="23675828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Источники водоснабжения, водопроводные сооружения (водозаборные, водоподготовки и водопроводные станции), а также водоводы должны иметь зоны санитарной охраны, санитарно-защитные полосы в соответствие с требованиями </w:t>
      </w:r>
      <w:hyperlink r:id="rId15">
        <w:r w:rsidRPr="00AF7D59">
          <w:rPr>
            <w:rFonts w:ascii="PT Astra Serif" w:hAnsi="PT Astra Serif" w:cs="PT Astra Serif"/>
            <w:color w:val="0000FF"/>
            <w:sz w:val="24"/>
            <w:szCs w:val="24"/>
          </w:rPr>
          <w:t>СанПиН 2.1.4.1110-02</w:t>
        </w:r>
      </w:hyperlink>
      <w:r w:rsidRPr="00AF7D59">
        <w:rPr>
          <w:rFonts w:ascii="PT Astra Serif" w:hAnsi="PT Astra Serif" w:cs="PT Astra Serif"/>
          <w:sz w:val="24"/>
          <w:szCs w:val="24"/>
        </w:rPr>
        <w:t xml:space="preserve"> "Зоны санитарной охраны источников водоснабжения и водопроводов питьевого назначения".</w:t>
      </w:r>
    </w:p>
    <w:p w14:paraId="4EADCCFF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Противопожарный водопровод допускается объединять с хозяйственно-питьевым или производственным водопроводом.</w:t>
      </w:r>
    </w:p>
    <w:p w14:paraId="7C9E4400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К источникам наружного противопожарного водоснабжения относятся:</w:t>
      </w:r>
    </w:p>
    <w:p w14:paraId="5EA3AD62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- наружные водопроводные сети с пожарными гидрантами;</w:t>
      </w:r>
    </w:p>
    <w:p w14:paraId="483F6C55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- водные объекты, используемые для целей пожаротушения в соответствии с законодательством Российской Федерации.</w:t>
      </w:r>
    </w:p>
    <w:p w14:paraId="442BC9A7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Противопожарный водопровод должен предусматриваться в соответствии с требованиями Федерального </w:t>
      </w:r>
      <w:hyperlink r:id="rId16">
        <w:r w:rsidRPr="00AF7D59">
          <w:rPr>
            <w:rFonts w:ascii="PT Astra Serif" w:hAnsi="PT Astra Serif" w:cs="PT Astra Serif"/>
            <w:color w:val="0000FF"/>
            <w:sz w:val="24"/>
            <w:szCs w:val="24"/>
          </w:rPr>
          <w:t>закона</w:t>
        </w:r>
      </w:hyperlink>
      <w:r w:rsidRPr="00AF7D59">
        <w:rPr>
          <w:rFonts w:ascii="PT Astra Serif" w:hAnsi="PT Astra Serif" w:cs="PT Astra Serif"/>
          <w:sz w:val="24"/>
          <w:szCs w:val="24"/>
        </w:rPr>
        <w:t xml:space="preserve"> от 22.07.2008 N 123-ФЗ "Технический регламент о требованиях пожарной безопасности".</w:t>
      </w:r>
    </w:p>
    <w:p w14:paraId="5EE3DE2A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При проектировании системы наружного противопожарного водоснабжения следует руководствоваться СП 8.13130.2009 "Свод правил. Системы противопожарной защиты. Источники наружного противопожарного водоснабжения. Требования пожарной безопасности".</w:t>
      </w:r>
    </w:p>
    <w:p w14:paraId="66CECA92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Допускается предусматривать в качестве источников наружного противопожарного водоснабжения природные или искусственные водоемы.</w:t>
      </w:r>
    </w:p>
    <w:p w14:paraId="263E30A9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Расход воды на наружное пожаротушение зданий любого функционального назначения, отдельно стоящих производственных зданий, сооружений и иных объектов из водопроводной сети принимается в соответствии с Федеральным </w:t>
      </w:r>
      <w:hyperlink r:id="rId17">
        <w:r w:rsidRPr="00AF7D59">
          <w:rPr>
            <w:rFonts w:ascii="PT Astra Serif" w:hAnsi="PT Astra Serif" w:cs="PT Astra Serif"/>
            <w:color w:val="0000FF"/>
            <w:sz w:val="24"/>
            <w:szCs w:val="24"/>
          </w:rPr>
          <w:t>Законом</w:t>
        </w:r>
      </w:hyperlink>
      <w:r w:rsidRPr="00AF7D59">
        <w:rPr>
          <w:rFonts w:ascii="PT Astra Serif" w:hAnsi="PT Astra Serif" w:cs="PT Astra Serif"/>
          <w:sz w:val="24"/>
          <w:szCs w:val="24"/>
        </w:rPr>
        <w:t xml:space="preserve"> от 22.07.2008 N 123-ФЗ "Технический регламент о требованиях пожарной безопасности".</w:t>
      </w:r>
    </w:p>
    <w:p w14:paraId="3ADD9345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Установку пожарных гидрантов следует предусматривать вдоль автомобильных дорог на расстоянии не более 2,5 м от края проезжей части, но не менее 5 м от стен зданий, пожарные гидранты допускается располагать на проезжей части. При этом установка пожарных гидрантов на ответвлении от линии водопровода не допускается.</w:t>
      </w:r>
    </w:p>
    <w:p w14:paraId="616789AB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Удельное водопотребление включает расходы воды на хозяйственно-питьевые нужды в жилых и общественных зданиях, нужды местной промышленности, полив улиц и зеленых насаждений.</w:t>
      </w:r>
    </w:p>
    <w:p w14:paraId="5C194986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Выбор источника водоснабжения должен быть обоснован результатами топографических, гидрологических, гидрогеологических, ихтиологических, гидрохимических, гидробиологических, гидротермических и других изысканий и санитарных обследований.</w:t>
      </w:r>
    </w:p>
    <w:p w14:paraId="512682CE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В качестве источника водоснабжения следует рассматривать водотоки (реки, каналы), водоемы (озера, водохранилища, пруды), подземные воды (водоносные пласты, </w:t>
      </w:r>
      <w:proofErr w:type="spellStart"/>
      <w:r w:rsidRPr="00AF7D59">
        <w:rPr>
          <w:rFonts w:ascii="PT Astra Serif" w:hAnsi="PT Astra Serif" w:cs="PT Astra Serif"/>
          <w:sz w:val="24"/>
          <w:szCs w:val="24"/>
        </w:rPr>
        <w:t>подрусловые</w:t>
      </w:r>
      <w:proofErr w:type="spellEnd"/>
      <w:r w:rsidRPr="00AF7D59">
        <w:rPr>
          <w:rFonts w:ascii="PT Astra Serif" w:hAnsi="PT Astra Serif" w:cs="PT Astra Serif"/>
          <w:sz w:val="24"/>
          <w:szCs w:val="24"/>
        </w:rPr>
        <w:t xml:space="preserve"> и </w:t>
      </w:r>
      <w:r w:rsidRPr="00AF7D59">
        <w:rPr>
          <w:rFonts w:ascii="PT Astra Serif" w:hAnsi="PT Astra Serif" w:cs="PT Astra Serif"/>
          <w:sz w:val="24"/>
          <w:szCs w:val="24"/>
        </w:rPr>
        <w:lastRenderedPageBreak/>
        <w:t>другие воды).</w:t>
      </w:r>
    </w:p>
    <w:p w14:paraId="4D74EC9B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Для хозяйственно-питьевых водопроводов должны максимально использоваться имеющиеся ресурсы подземных вод (в том числе пополняемых источников), удовлетворяющих санитарно-гигиеническим требованиям.</w:t>
      </w:r>
    </w:p>
    <w:p w14:paraId="19A5D2FF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Для производственного водоснабжения промышленных предприятий следует рассматривать возможность использования очищенных сточных вод.</w:t>
      </w:r>
    </w:p>
    <w:p w14:paraId="099C4E91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Выбор схем и систем водоснабжения следует осуществлять в соответствии с требованиями СП 31.13330.2012 "СНиП 2.04.02-84* Водоснабжение. Наружные сети и сооружения". Системы водоснабжения могут быть централизованными, нецентрализованными, локальными, оборотными.</w:t>
      </w:r>
    </w:p>
    <w:p w14:paraId="4C7EC08E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Водопроводные сети проектируются кольцевыми.</w:t>
      </w:r>
    </w:p>
    <w:p w14:paraId="35ADE40C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Кольцевание наружных водопроводных сетей внутренними водопроводными сетями зданий и сооружений не допускается.</w:t>
      </w:r>
    </w:p>
    <w:p w14:paraId="6B127FBE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Водопроводные сооружения должны иметь ограждения.</w:t>
      </w:r>
    </w:p>
    <w:p w14:paraId="3FBB7EA1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Для площадок станций водоподготовки, насосных станций, резервуаров и водонапорных башен с зонами санитарной охраны первого пояса следует принимать глухое ограждение высотой 2,5 м. Допускается предусматривать ограждение на высоту 2 м - глухое и на 0,5 м - из колючей проволоки или металлической сетки, при этом во всех случаях должна предусматриваться колючая проволока в 4-5 нитей на кронштейнах с внутренней стороны ограждения.</w:t>
      </w:r>
    </w:p>
    <w:p w14:paraId="16F5C1D4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Примыкание к ограждению строений, кроме проходных и административно-бытовых зданий, не допускается.</w:t>
      </w:r>
    </w:p>
    <w:p w14:paraId="6D19A599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Очистные сооружения размещаются на территории зоны объектов инженерной инфраструктуры, определенных в градостроительной документации, или производственной зоны.</w:t>
      </w:r>
    </w:p>
    <w:p w14:paraId="0BF2D8A5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Все объекты жилищно-гражданского, производственного назначения, как правило, должны быть обеспечены централизованным системами канализации.</w:t>
      </w:r>
    </w:p>
    <w:p w14:paraId="7E6DE15E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При проектировании канализации необходимо рассматривать возможность объединения систем канализации различных объектов, а также предусматривать возможность использования существующих сооружений и интенсификацию их работы на основании технико-экономических расчетов.</w:t>
      </w:r>
    </w:p>
    <w:p w14:paraId="586BD286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Очистные сооружения хозяйственно-бытовой канализации являются отдельно стоящими подземно-надземными сооружениями.</w:t>
      </w:r>
    </w:p>
    <w:p w14:paraId="3B7856CA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Проекты канализации населенных пунктов должны разрабатываться одновременно с проектами водоснабжения с обязательным анализом баланса водопотребления и отведения сточных вод. При этом необходимо рассматривать возможность использования очищенных сточных, дождевых вод для производственного водоснабжения и полива.</w:t>
      </w:r>
    </w:p>
    <w:p w14:paraId="12A663BE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КНС сооружают в тех случаях, когда рельеф местности не позволяет отводить сточные воды самотеком к очистным сооружениям.</w:t>
      </w:r>
    </w:p>
    <w:p w14:paraId="144D3A21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Очистные сооружения производственной и дождевой канализации следует, как правило, размещать на территории промышленных предприятий.</w:t>
      </w:r>
    </w:p>
    <w:p w14:paraId="71BBD01D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Площадки под КНС следует резервировать, как правило, в самых пониженных точках </w:t>
      </w:r>
      <w:r w:rsidRPr="00AF7D59">
        <w:rPr>
          <w:rFonts w:ascii="PT Astra Serif" w:hAnsi="PT Astra Serif" w:cs="PT Astra Serif"/>
          <w:sz w:val="24"/>
          <w:szCs w:val="24"/>
        </w:rPr>
        <w:lastRenderedPageBreak/>
        <w:t>местности на незатопляемой территории.</w:t>
      </w:r>
    </w:p>
    <w:p w14:paraId="4D2BD75B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Площадку очистных сооружений сточных вод следует располагать с подветренной стороны для ветров преобладающего в теплый период года направления по отношению к жилой застройке, ниже по течению водотока.</w:t>
      </w:r>
    </w:p>
    <w:p w14:paraId="25F18A6A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Выбор площадок для строительства сооружений канализации, планировку, застройку и благоустройство их территорий следует выполнять в соответствии с технологическими требованиями и действующей нормативной документацией.</w:t>
      </w:r>
    </w:p>
    <w:p w14:paraId="3E57BB81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Линейные объекты системы водоотведения сточных вод (канализационные напорные и самотечные трубопроводы) по местоположению относительно земной поверхности могут размещаться только </w:t>
      </w:r>
      <w:proofErr w:type="spellStart"/>
      <w:r w:rsidRPr="00AF7D59">
        <w:rPr>
          <w:rFonts w:ascii="PT Astra Serif" w:hAnsi="PT Astra Serif" w:cs="PT Astra Serif"/>
          <w:sz w:val="24"/>
          <w:szCs w:val="24"/>
        </w:rPr>
        <w:t>подземно</w:t>
      </w:r>
      <w:proofErr w:type="spellEnd"/>
      <w:r w:rsidRPr="00AF7D59">
        <w:rPr>
          <w:rFonts w:ascii="PT Astra Serif" w:hAnsi="PT Astra Serif" w:cs="PT Astra Serif"/>
          <w:sz w:val="24"/>
          <w:szCs w:val="24"/>
        </w:rPr>
        <w:t>.</w:t>
      </w:r>
    </w:p>
    <w:p w14:paraId="46C12A24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Надземная и наземная прокладка канализационных трубопроводов не допускается.</w:t>
      </w:r>
    </w:p>
    <w:p w14:paraId="7B7A7E97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25576D0E" w14:textId="77777777" w:rsidR="00C013B4" w:rsidRPr="00AF7D59" w:rsidRDefault="002E6FC5">
      <w:pPr>
        <w:pStyle w:val="ConsPlusNormal"/>
        <w:jc w:val="center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Автомобильные дороги местного значения</w:t>
      </w:r>
    </w:p>
    <w:p w14:paraId="25FF71DA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53BF81C6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Зоны размещения автомобильных дорог местного значения вне границ населенных пунктов в границах муниципального района определяются на основании документов территориального планирования Удмуртской Республики и Красногорского района.</w:t>
      </w:r>
    </w:p>
    <w:p w14:paraId="74E27101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Категории автомобильных дорог местного значения вне границ населенных пунктов в границах муниципального района в зависимости от их назначения, расчетной интенсивности движения и их значения приведены в таблице 4.2.1.</w:t>
      </w:r>
    </w:p>
    <w:p w14:paraId="2E1618AB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20BD21C7" w14:textId="77777777" w:rsidR="00C013B4" w:rsidRPr="00AF7D59" w:rsidRDefault="002E6FC5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Таблица 4.2.1</w:t>
      </w:r>
    </w:p>
    <w:p w14:paraId="12C597FA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2948"/>
        <w:gridCol w:w="4909"/>
      </w:tblGrid>
      <w:tr w:rsidR="00C013B4" w:rsidRPr="00AF7D59" w14:paraId="721F69F4" w14:textId="77777777">
        <w:tc>
          <w:tcPr>
            <w:tcW w:w="1928" w:type="dxa"/>
          </w:tcPr>
          <w:p w14:paraId="41640CA4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Категория автомобильной дороги</w:t>
            </w:r>
          </w:p>
        </w:tc>
        <w:tc>
          <w:tcPr>
            <w:tcW w:w="2948" w:type="dxa"/>
          </w:tcPr>
          <w:p w14:paraId="3645B99C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Класс</w:t>
            </w:r>
          </w:p>
        </w:tc>
        <w:tc>
          <w:tcPr>
            <w:tcW w:w="4909" w:type="dxa"/>
          </w:tcPr>
          <w:p w14:paraId="2BEE5AD5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Расчетная интенсивность движения, приведенных единиц/сутки</w:t>
            </w:r>
          </w:p>
        </w:tc>
      </w:tr>
      <w:tr w:rsidR="00C013B4" w:rsidRPr="00AF7D59" w14:paraId="110DAD00" w14:textId="77777777">
        <w:tc>
          <w:tcPr>
            <w:tcW w:w="1928" w:type="dxa"/>
          </w:tcPr>
          <w:p w14:paraId="3A30A7E8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IV</w:t>
            </w:r>
          </w:p>
        </w:tc>
        <w:tc>
          <w:tcPr>
            <w:tcW w:w="2948" w:type="dxa"/>
            <w:vMerge w:val="restart"/>
          </w:tcPr>
          <w:p w14:paraId="77A64944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обычная автомобильная дорога (</w:t>
            </w:r>
            <w:proofErr w:type="spellStart"/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нескоростная</w:t>
            </w:r>
            <w:proofErr w:type="spellEnd"/>
            <w:r w:rsidRPr="00AF7D59">
              <w:rPr>
                <w:rFonts w:ascii="PT Astra Serif" w:hAnsi="PT Astra Serif" w:cs="PT Astra Serif"/>
                <w:sz w:val="24"/>
                <w:szCs w:val="24"/>
              </w:rPr>
              <w:t xml:space="preserve"> автомобильная дорога)</w:t>
            </w:r>
          </w:p>
        </w:tc>
        <w:tc>
          <w:tcPr>
            <w:tcW w:w="4909" w:type="dxa"/>
          </w:tcPr>
          <w:p w14:paraId="4155BBAD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свыше 200 до 2 000</w:t>
            </w:r>
          </w:p>
        </w:tc>
      </w:tr>
      <w:tr w:rsidR="00C013B4" w:rsidRPr="00AF7D59" w14:paraId="1DBDDC96" w14:textId="77777777">
        <w:tc>
          <w:tcPr>
            <w:tcW w:w="1928" w:type="dxa"/>
          </w:tcPr>
          <w:p w14:paraId="54B2819C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V</w:t>
            </w:r>
          </w:p>
        </w:tc>
        <w:tc>
          <w:tcPr>
            <w:tcW w:w="2948" w:type="dxa"/>
            <w:vMerge/>
          </w:tcPr>
          <w:p w14:paraId="5F2328BE" w14:textId="77777777" w:rsidR="00C013B4" w:rsidRPr="00AF7D59" w:rsidRDefault="00C013B4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4909" w:type="dxa"/>
          </w:tcPr>
          <w:p w14:paraId="62DEF084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до 200</w:t>
            </w:r>
          </w:p>
        </w:tc>
      </w:tr>
    </w:tbl>
    <w:p w14:paraId="17C417CC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58D1B484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Пропускную способность сети дорог, улиц и транспортных пересечений следует определять исходя из расчетного уровня автомобилизации на расчетный срок, приведенного в таблице 4.2.2.</w:t>
      </w:r>
    </w:p>
    <w:p w14:paraId="000709C4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290E6791" w14:textId="77777777" w:rsidR="00C013B4" w:rsidRPr="00AF7D59" w:rsidRDefault="002E6FC5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Таблица 4.2.2</w:t>
      </w:r>
    </w:p>
    <w:p w14:paraId="28A7E478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13"/>
        <w:gridCol w:w="4157"/>
      </w:tblGrid>
      <w:tr w:rsidR="00C013B4" w:rsidRPr="00AF7D59" w14:paraId="6A528814" w14:textId="77777777">
        <w:tc>
          <w:tcPr>
            <w:tcW w:w="5613" w:type="dxa"/>
          </w:tcPr>
          <w:p w14:paraId="4BF498F3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4157" w:type="dxa"/>
          </w:tcPr>
          <w:p w14:paraId="019C7574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Минимальные расчетные показатели, единиц/1000 чел.</w:t>
            </w:r>
          </w:p>
        </w:tc>
      </w:tr>
      <w:tr w:rsidR="00C013B4" w:rsidRPr="00AF7D59" w14:paraId="7D92A18F" w14:textId="77777777">
        <w:tc>
          <w:tcPr>
            <w:tcW w:w="5613" w:type="dxa"/>
          </w:tcPr>
          <w:p w14:paraId="7B3B5628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Количество легковых автомобилей,</w:t>
            </w:r>
          </w:p>
        </w:tc>
        <w:tc>
          <w:tcPr>
            <w:tcW w:w="4157" w:type="dxa"/>
          </w:tcPr>
          <w:p w14:paraId="2E65419B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550</w:t>
            </w:r>
          </w:p>
        </w:tc>
      </w:tr>
      <w:tr w:rsidR="00C013B4" w:rsidRPr="00AF7D59" w14:paraId="00C6F6FD" w14:textId="77777777">
        <w:tc>
          <w:tcPr>
            <w:tcW w:w="5613" w:type="dxa"/>
          </w:tcPr>
          <w:p w14:paraId="7D4CEB5F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в том числе в личной собственности граждан</w:t>
            </w:r>
          </w:p>
        </w:tc>
        <w:tc>
          <w:tcPr>
            <w:tcW w:w="4157" w:type="dxa"/>
          </w:tcPr>
          <w:p w14:paraId="0AEEA89B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535</w:t>
            </w:r>
          </w:p>
        </w:tc>
      </w:tr>
      <w:tr w:rsidR="00C013B4" w:rsidRPr="00AF7D59" w14:paraId="7F851F61" w14:textId="77777777">
        <w:tc>
          <w:tcPr>
            <w:tcW w:w="5613" w:type="dxa"/>
          </w:tcPr>
          <w:p w14:paraId="6BFDEF9F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Количество автобусов</w:t>
            </w:r>
          </w:p>
        </w:tc>
        <w:tc>
          <w:tcPr>
            <w:tcW w:w="4157" w:type="dxa"/>
          </w:tcPr>
          <w:p w14:paraId="07DE8AF2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9</w:t>
            </w:r>
          </w:p>
        </w:tc>
      </w:tr>
      <w:tr w:rsidR="00C013B4" w:rsidRPr="00AF7D59" w14:paraId="74E7AA83" w14:textId="77777777">
        <w:tc>
          <w:tcPr>
            <w:tcW w:w="5613" w:type="dxa"/>
          </w:tcPr>
          <w:p w14:paraId="3111D8A8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Количество грузовых автомобилей</w:t>
            </w:r>
          </w:p>
        </w:tc>
        <w:tc>
          <w:tcPr>
            <w:tcW w:w="4157" w:type="dxa"/>
          </w:tcPr>
          <w:p w14:paraId="14B167CC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40</w:t>
            </w:r>
          </w:p>
        </w:tc>
      </w:tr>
      <w:tr w:rsidR="00C013B4" w:rsidRPr="00AF7D59" w14:paraId="29285E0E" w14:textId="77777777">
        <w:tc>
          <w:tcPr>
            <w:tcW w:w="5613" w:type="dxa"/>
          </w:tcPr>
          <w:p w14:paraId="768566A3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Количество мотоциклов и мопедов</w:t>
            </w:r>
          </w:p>
        </w:tc>
        <w:tc>
          <w:tcPr>
            <w:tcW w:w="4157" w:type="dxa"/>
          </w:tcPr>
          <w:p w14:paraId="76BF6F93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6</w:t>
            </w:r>
          </w:p>
        </w:tc>
      </w:tr>
    </w:tbl>
    <w:p w14:paraId="0CACF81C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62B7066A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Примечания:</w:t>
      </w:r>
    </w:p>
    <w:p w14:paraId="227DEBD9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lastRenderedPageBreak/>
        <w:t>1. Указанный уровень автомобилизации допускается увеличивать в зависимости от особенностей градостроительной ситуации, но не более чем на 20%.</w:t>
      </w:r>
    </w:p>
    <w:p w14:paraId="53CDA76B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2. Количество автомобилей, прибывающих в населенный пункт из других населенных пунктов Удмуртской Республики, и транзитных автомобилей определяется специальным расчетом.</w:t>
      </w:r>
    </w:p>
    <w:p w14:paraId="139C8792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Для расчета пропускной способности (интенсивности движения) при движении по уличной сети смешанного потока различные виды транспорта следует приводить к одному расчетному виду. Коэффициенты приведения интенсивности движения различных транспортных средств к легковому автомобилю следует принимать по таблице 4.2.3.</w:t>
      </w:r>
    </w:p>
    <w:p w14:paraId="77099B64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469B43BD" w14:textId="77777777" w:rsidR="00C013B4" w:rsidRPr="00AF7D59" w:rsidRDefault="002E6FC5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Таблица 4.2.3</w:t>
      </w:r>
    </w:p>
    <w:p w14:paraId="4D827F9A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0"/>
        <w:gridCol w:w="2555"/>
      </w:tblGrid>
      <w:tr w:rsidR="00C013B4" w:rsidRPr="00AF7D59" w14:paraId="0775828F" w14:textId="77777777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22661DE6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Типы транспортных средств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4295CA0F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Коэффициент приведения</w:t>
            </w:r>
          </w:p>
        </w:tc>
      </w:tr>
      <w:tr w:rsidR="00C013B4" w:rsidRPr="00AF7D59" w14:paraId="19B2D7B7" w14:textId="77777777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single" w:sz="4" w:space="0" w:color="auto"/>
              <w:bottom w:val="nil"/>
            </w:tcBorders>
          </w:tcPr>
          <w:p w14:paraId="421E6B03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Легковые автомобили, мотоциклы, микроавтобусы</w:t>
            </w:r>
          </w:p>
        </w:tc>
        <w:tc>
          <w:tcPr>
            <w:tcW w:w="2555" w:type="dxa"/>
            <w:tcBorders>
              <w:top w:val="single" w:sz="4" w:space="0" w:color="auto"/>
              <w:bottom w:val="nil"/>
            </w:tcBorders>
          </w:tcPr>
          <w:p w14:paraId="23FC1B5F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1,0</w:t>
            </w:r>
          </w:p>
        </w:tc>
      </w:tr>
      <w:tr w:rsidR="00C013B4" w:rsidRPr="00AF7D59" w14:paraId="02C70189" w14:textId="77777777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14:paraId="7D0A56E7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Грузовые автомобили грузоподъемностью: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10B4CA71" w14:textId="77777777" w:rsidR="00C013B4" w:rsidRPr="00AF7D59" w:rsidRDefault="00C013B4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C013B4" w:rsidRPr="00AF7D59" w14:paraId="6AF25920" w14:textId="77777777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14:paraId="279285E4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до 2 т включительно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3B273A3F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1,3</w:t>
            </w:r>
          </w:p>
        </w:tc>
      </w:tr>
      <w:tr w:rsidR="00C013B4" w:rsidRPr="00AF7D59" w14:paraId="4C5F1151" w14:textId="77777777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14:paraId="6E522373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свыше 2 т до 6 т включительно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6026D24F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1,4</w:t>
            </w:r>
          </w:p>
        </w:tc>
      </w:tr>
      <w:tr w:rsidR="00C013B4" w:rsidRPr="00AF7D59" w14:paraId="6A212E02" w14:textId="77777777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14:paraId="76282A7D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свыше 6 т до 8 т включительно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7DF2E3FC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1,6</w:t>
            </w:r>
          </w:p>
        </w:tc>
      </w:tr>
      <w:tr w:rsidR="00C013B4" w:rsidRPr="00AF7D59" w14:paraId="089288C6" w14:textId="77777777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14:paraId="15EEFF7C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свыше 8 т до 14 т включительно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CCBFC16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1,8</w:t>
            </w:r>
          </w:p>
        </w:tc>
      </w:tr>
      <w:tr w:rsidR="00C013B4" w:rsidRPr="00AF7D59" w14:paraId="1B2C6DB9" w14:textId="77777777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14:paraId="7895D0EB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свыше 14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67CC208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2,0</w:t>
            </w:r>
          </w:p>
        </w:tc>
      </w:tr>
      <w:tr w:rsidR="00C013B4" w:rsidRPr="00AF7D59" w14:paraId="5D2D719B" w14:textId="77777777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14:paraId="127A0A42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Автопоезда грузоподъёмностью: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6EE8345B" w14:textId="77777777" w:rsidR="00C013B4" w:rsidRPr="00AF7D59" w:rsidRDefault="00C013B4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C013B4" w:rsidRPr="00AF7D59" w14:paraId="7D5C8116" w14:textId="77777777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14:paraId="336C2C8A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до 12 т включительно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7F56CD1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1,8</w:t>
            </w:r>
          </w:p>
        </w:tc>
      </w:tr>
      <w:tr w:rsidR="00C013B4" w:rsidRPr="00AF7D59" w14:paraId="0B5A46F8" w14:textId="77777777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14:paraId="60D13029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свыше 12 т до 20 т включительно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43188CF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2,2</w:t>
            </w:r>
          </w:p>
        </w:tc>
      </w:tr>
      <w:tr w:rsidR="00C013B4" w:rsidRPr="00AF7D59" w14:paraId="18621E98" w14:textId="77777777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14:paraId="21613C70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свыше 20 т до 30 т включительно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A584BD6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2,7</w:t>
            </w:r>
          </w:p>
        </w:tc>
      </w:tr>
      <w:tr w:rsidR="00C013B4" w:rsidRPr="00AF7D59" w14:paraId="06795812" w14:textId="77777777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14:paraId="073C7C7F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свыше 30 т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3680CE5B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3,2</w:t>
            </w:r>
          </w:p>
        </w:tc>
      </w:tr>
      <w:tr w:rsidR="00C013B4" w:rsidRPr="00AF7D59" w14:paraId="3E73283C" w14:textId="77777777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14:paraId="78346A4D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Автобусы: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DDEFBEB" w14:textId="77777777" w:rsidR="00C013B4" w:rsidRPr="00AF7D59" w:rsidRDefault="00C013B4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C013B4" w:rsidRPr="00AF7D59" w14:paraId="6DB56BC4" w14:textId="77777777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14:paraId="62DB52AC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малой вместимости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12FF7843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1,4</w:t>
            </w:r>
          </w:p>
        </w:tc>
      </w:tr>
      <w:tr w:rsidR="00C013B4" w:rsidRPr="00AF7D59" w14:paraId="7360DBF6" w14:textId="77777777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14:paraId="63F43EB4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средней вместимости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C166D03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2,5</w:t>
            </w:r>
          </w:p>
        </w:tc>
      </w:tr>
      <w:tr w:rsidR="00C013B4" w:rsidRPr="00AF7D59" w14:paraId="3F3ADE27" w14:textId="77777777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single" w:sz="4" w:space="0" w:color="auto"/>
            </w:tcBorders>
          </w:tcPr>
          <w:p w14:paraId="65E35E55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большой вместимости</w:t>
            </w:r>
          </w:p>
        </w:tc>
        <w:tc>
          <w:tcPr>
            <w:tcW w:w="2555" w:type="dxa"/>
            <w:tcBorders>
              <w:top w:val="nil"/>
              <w:bottom w:val="single" w:sz="4" w:space="0" w:color="auto"/>
            </w:tcBorders>
          </w:tcPr>
          <w:p w14:paraId="5EA6C75B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3,0</w:t>
            </w:r>
          </w:p>
        </w:tc>
      </w:tr>
    </w:tbl>
    <w:p w14:paraId="50694DD1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72DB27FC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Примечание: коэффициенты приведения для специальных автомобилей следует принимать как для базовых автомобилей соответствующей грузоподъемности.</w:t>
      </w:r>
    </w:p>
    <w:p w14:paraId="5C99DF50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Полосы отвода автомобильных дорог местного значения следует проектировать в соответствии с требованиями Федерального </w:t>
      </w:r>
      <w:hyperlink r:id="rId18">
        <w:r w:rsidRPr="00AF7D59">
          <w:rPr>
            <w:rFonts w:ascii="PT Astra Serif" w:hAnsi="PT Astra Serif" w:cs="PT Astra Serif"/>
            <w:color w:val="0000FF"/>
            <w:sz w:val="24"/>
            <w:szCs w:val="24"/>
          </w:rPr>
          <w:t>закона</w:t>
        </w:r>
      </w:hyperlink>
      <w:r w:rsidRPr="00AF7D59">
        <w:rPr>
          <w:rFonts w:ascii="PT Astra Serif" w:hAnsi="PT Astra Serif" w:cs="PT Astra Serif"/>
          <w:sz w:val="24"/>
          <w:szCs w:val="24"/>
        </w:rPr>
        <w:t xml:space="preserve">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приведенными в таблице 4.2.4.</w:t>
      </w:r>
    </w:p>
    <w:p w14:paraId="1618E824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548E6C04" w14:textId="77777777" w:rsidR="00C013B4" w:rsidRPr="00AF7D59" w:rsidRDefault="00C013B4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14:paraId="76D2C578" w14:textId="77777777" w:rsidR="00C013B4" w:rsidRPr="00AF7D59" w:rsidRDefault="00C013B4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</w:p>
    <w:p w14:paraId="0EEE7BA4" w14:textId="77777777" w:rsidR="00C013B4" w:rsidRPr="00AF7D59" w:rsidRDefault="002E6FC5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lastRenderedPageBreak/>
        <w:t>Таблица 4.2.4</w:t>
      </w:r>
    </w:p>
    <w:p w14:paraId="6E09FD8B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235"/>
      </w:tblGrid>
      <w:tr w:rsidR="00C013B4" w:rsidRPr="00AF7D59" w14:paraId="03F90DE5" w14:textId="77777777">
        <w:tc>
          <w:tcPr>
            <w:tcW w:w="4535" w:type="dxa"/>
          </w:tcPr>
          <w:p w14:paraId="1050BBD4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Наименования параметров</w:t>
            </w:r>
          </w:p>
        </w:tc>
        <w:tc>
          <w:tcPr>
            <w:tcW w:w="5235" w:type="dxa"/>
          </w:tcPr>
          <w:p w14:paraId="04427116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Порядок определения</w:t>
            </w:r>
          </w:p>
        </w:tc>
      </w:tr>
      <w:tr w:rsidR="00C013B4" w:rsidRPr="00AF7D59" w14:paraId="215A2DCC" w14:textId="77777777">
        <w:tc>
          <w:tcPr>
            <w:tcW w:w="4535" w:type="dxa"/>
          </w:tcPr>
          <w:p w14:paraId="0496C6D0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Границы полосы отвода автомобильной дороги</w:t>
            </w:r>
          </w:p>
        </w:tc>
        <w:tc>
          <w:tcPr>
            <w:tcW w:w="5235" w:type="dxa"/>
          </w:tcPr>
          <w:p w14:paraId="2755CB04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Определяются на основании документации по планировке территории</w:t>
            </w:r>
          </w:p>
        </w:tc>
      </w:tr>
      <w:tr w:rsidR="00C013B4" w:rsidRPr="00AF7D59" w14:paraId="262902E7" w14:textId="77777777">
        <w:tc>
          <w:tcPr>
            <w:tcW w:w="4535" w:type="dxa"/>
          </w:tcPr>
          <w:p w14:paraId="1B9BC0AE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Порядок установления и использования полос отвода автомобильных дорог местного значения</w:t>
            </w:r>
          </w:p>
        </w:tc>
        <w:tc>
          <w:tcPr>
            <w:tcW w:w="5235" w:type="dxa"/>
          </w:tcPr>
          <w:p w14:paraId="413B9752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Органом местного самоуправления Красногорского района Удмуртской Республики</w:t>
            </w:r>
          </w:p>
        </w:tc>
      </w:tr>
      <w:tr w:rsidR="00C013B4" w:rsidRPr="00AF7D59" w14:paraId="4298D84D" w14:textId="77777777">
        <w:tc>
          <w:tcPr>
            <w:tcW w:w="4535" w:type="dxa"/>
          </w:tcPr>
          <w:p w14:paraId="0E6110CB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Ширина полос и размеры участков земель, отводимых для автомобильных дорог и транспортных развязок движения</w:t>
            </w:r>
          </w:p>
        </w:tc>
        <w:tc>
          <w:tcPr>
            <w:tcW w:w="5235" w:type="dxa"/>
          </w:tcPr>
          <w:p w14:paraId="3CCDEA0D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 xml:space="preserve">В соответствии с требованиями </w:t>
            </w:r>
            <w:hyperlink r:id="rId19">
              <w:r w:rsidRPr="00AF7D59">
                <w:rPr>
                  <w:rFonts w:ascii="PT Astra Serif" w:hAnsi="PT Astra Serif" w:cs="PT Astra Serif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AF7D59">
              <w:rPr>
                <w:rFonts w:ascii="PT Astra Serif" w:hAnsi="PT Astra Serif" w:cs="PT Astra Serif"/>
                <w:sz w:val="24"/>
                <w:szCs w:val="24"/>
              </w:rPr>
              <w:t xml:space="preserve"> Правительства Российской Федерации от 02.09.2009 N 717 "О нормах отвода земель для размещения автомобильных дорог и (или) объектов дорожного сервиса"</w:t>
            </w:r>
          </w:p>
        </w:tc>
      </w:tr>
    </w:tbl>
    <w:p w14:paraId="7CAEEB2B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5D80D1B9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Расчетные показатели градостроительного проектирования мостовых сооружений (мостов, эстакад, галерей, труб, путепроводов) приведены в таблице 4.2.5.</w:t>
      </w:r>
    </w:p>
    <w:p w14:paraId="31FA7ED9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71E12019" w14:textId="77777777" w:rsidR="00C013B4" w:rsidRPr="00AF7D59" w:rsidRDefault="002E6FC5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Таблица 4.2.5</w:t>
      </w:r>
    </w:p>
    <w:p w14:paraId="6499540B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280"/>
      </w:tblGrid>
      <w:tr w:rsidR="00C013B4" w:rsidRPr="00AF7D59" w14:paraId="14578B81" w14:textId="77777777">
        <w:tc>
          <w:tcPr>
            <w:tcW w:w="4535" w:type="dxa"/>
          </w:tcPr>
          <w:p w14:paraId="693A18AA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5280" w:type="dxa"/>
          </w:tcPr>
          <w:p w14:paraId="74D11675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Нормативные параметры и расчетные показатели мостовых сооружений (мостов, эстакад, галерей, труб, путепроводов)</w:t>
            </w:r>
          </w:p>
        </w:tc>
      </w:tr>
      <w:tr w:rsidR="00C013B4" w:rsidRPr="00AF7D59" w14:paraId="61A9BC27" w14:textId="77777777">
        <w:tc>
          <w:tcPr>
            <w:tcW w:w="4535" w:type="dxa"/>
          </w:tcPr>
          <w:p w14:paraId="7D8F9738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Выбор трассы и места размещения</w:t>
            </w:r>
          </w:p>
        </w:tc>
        <w:tc>
          <w:tcPr>
            <w:tcW w:w="5280" w:type="dxa"/>
          </w:tcPr>
          <w:p w14:paraId="08A94ADD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В соответствии с требованиями СП 35.13330.2011</w:t>
            </w:r>
          </w:p>
        </w:tc>
      </w:tr>
      <w:tr w:rsidR="00C013B4" w:rsidRPr="00AF7D59" w14:paraId="120A2D1F" w14:textId="77777777">
        <w:tc>
          <w:tcPr>
            <w:tcW w:w="4535" w:type="dxa"/>
          </w:tcPr>
          <w:p w14:paraId="47A40307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Габариты приближения</w:t>
            </w:r>
          </w:p>
        </w:tc>
        <w:tc>
          <w:tcPr>
            <w:tcW w:w="5280" w:type="dxa"/>
          </w:tcPr>
          <w:p w14:paraId="7A14FBBB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В соответствии с требованиями ГОСТ Р 52748-2007</w:t>
            </w:r>
          </w:p>
        </w:tc>
      </w:tr>
    </w:tbl>
    <w:p w14:paraId="2B71BF3A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45C1DA0E" w14:textId="77777777" w:rsidR="00C013B4" w:rsidRPr="00AF7D59" w:rsidRDefault="002E6FC5">
      <w:pPr>
        <w:pStyle w:val="ConsPlusNormal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AF7D59">
        <w:rPr>
          <w:rFonts w:ascii="PT Astra Serif" w:hAnsi="PT Astra Serif" w:cs="PT Astra Serif"/>
          <w:b/>
          <w:bCs/>
          <w:sz w:val="24"/>
          <w:szCs w:val="24"/>
        </w:rPr>
        <w:t>Объекты образования</w:t>
      </w:r>
    </w:p>
    <w:p w14:paraId="38D71797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2EB0C0CA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Расчетные показатели минимально допустимого уровня обеспеченности объектами и максимально допустимого уровня территориальной доступности объектов в области образования для Красногорского района приведены в таблице 4.3.1.</w:t>
      </w:r>
    </w:p>
    <w:p w14:paraId="4DE0E36B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47815823" w14:textId="77777777" w:rsidR="00C013B4" w:rsidRPr="00AF7D59" w:rsidRDefault="002E6FC5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Таблица 4.3.1</w:t>
      </w:r>
    </w:p>
    <w:p w14:paraId="481F0F81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3005"/>
        <w:gridCol w:w="3945"/>
      </w:tblGrid>
      <w:tr w:rsidR="00C013B4" w:rsidRPr="00AF7D59" w14:paraId="4D4E2D9C" w14:textId="77777777">
        <w:tc>
          <w:tcPr>
            <w:tcW w:w="2835" w:type="dxa"/>
          </w:tcPr>
          <w:p w14:paraId="6AA2AB11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Наименование одного или нескольких видов объектов местного значения муниципального образования</w:t>
            </w:r>
          </w:p>
        </w:tc>
        <w:tc>
          <w:tcPr>
            <w:tcW w:w="3005" w:type="dxa"/>
          </w:tcPr>
          <w:p w14:paraId="7D8997E5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Расчетные показатели минимально допустимого уровня обеспеченности объектами</w:t>
            </w:r>
          </w:p>
        </w:tc>
        <w:tc>
          <w:tcPr>
            <w:tcW w:w="3945" w:type="dxa"/>
          </w:tcPr>
          <w:p w14:paraId="22951B89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Расчетные показатели максимально допустимого уровня территориальной доступности объектов</w:t>
            </w:r>
          </w:p>
        </w:tc>
      </w:tr>
      <w:tr w:rsidR="00C013B4" w:rsidRPr="00AF7D59" w14:paraId="2B171B4D" w14:textId="77777777">
        <w:tc>
          <w:tcPr>
            <w:tcW w:w="2835" w:type="dxa"/>
          </w:tcPr>
          <w:p w14:paraId="4B38A784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3005" w:type="dxa"/>
          </w:tcPr>
          <w:p w14:paraId="577F57BB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не менее 57 мест на 1000 жителей</w:t>
            </w:r>
          </w:p>
        </w:tc>
        <w:tc>
          <w:tcPr>
            <w:tcW w:w="3945" w:type="dxa"/>
          </w:tcPr>
          <w:p w14:paraId="4B558689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15 минут транспортной доступности</w:t>
            </w:r>
          </w:p>
        </w:tc>
      </w:tr>
      <w:tr w:rsidR="00C013B4" w:rsidRPr="00AF7D59" w14:paraId="0784BDD6" w14:textId="77777777">
        <w:tc>
          <w:tcPr>
            <w:tcW w:w="2835" w:type="dxa"/>
          </w:tcPr>
          <w:p w14:paraId="307F112C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Общеобразовательные школы</w:t>
            </w:r>
          </w:p>
        </w:tc>
        <w:tc>
          <w:tcPr>
            <w:tcW w:w="3005" w:type="dxa"/>
          </w:tcPr>
          <w:p w14:paraId="15C2814E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не менее 125 мест на 1000 жителей, в том числе 17 для X - XI классов</w:t>
            </w:r>
          </w:p>
        </w:tc>
        <w:tc>
          <w:tcPr>
            <w:tcW w:w="3945" w:type="dxa"/>
          </w:tcPr>
          <w:p w14:paraId="61E74947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для обучающихся I ступени не более 2 км пешеходной доступности.</w:t>
            </w:r>
          </w:p>
          <w:p w14:paraId="00F30EA0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Для обучающихся II и III не более 4 км транспортной доступности &lt;*&gt;</w:t>
            </w:r>
          </w:p>
        </w:tc>
      </w:tr>
      <w:tr w:rsidR="00C013B4" w:rsidRPr="00AF7D59" w14:paraId="7F82AC3A" w14:textId="77777777">
        <w:tc>
          <w:tcPr>
            <w:tcW w:w="2835" w:type="dxa"/>
          </w:tcPr>
          <w:p w14:paraId="0A736694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Учреждения дополнительно го образования</w:t>
            </w:r>
          </w:p>
        </w:tc>
        <w:tc>
          <w:tcPr>
            <w:tcW w:w="3005" w:type="dxa"/>
          </w:tcPr>
          <w:p w14:paraId="083304B6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расчет по демографии не менее 10% от общего числа школьников</w:t>
            </w:r>
          </w:p>
        </w:tc>
        <w:tc>
          <w:tcPr>
            <w:tcW w:w="3945" w:type="dxa"/>
          </w:tcPr>
          <w:p w14:paraId="28487A25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по заданию на проектирование</w:t>
            </w:r>
          </w:p>
        </w:tc>
      </w:tr>
    </w:tbl>
    <w:p w14:paraId="531619E7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11EC99A6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4.3.2. Согласно </w:t>
      </w:r>
      <w:hyperlink r:id="rId20">
        <w:r w:rsidRPr="00AF7D59">
          <w:rPr>
            <w:rFonts w:ascii="PT Astra Serif" w:hAnsi="PT Astra Serif" w:cs="PT Astra Serif"/>
            <w:color w:val="0000FF"/>
            <w:sz w:val="24"/>
            <w:szCs w:val="24"/>
          </w:rPr>
          <w:t>СанПин 2.4.2.2821-10</w:t>
        </w:r>
      </w:hyperlink>
      <w:r w:rsidRPr="00AF7D59">
        <w:rPr>
          <w:rFonts w:ascii="PT Astra Serif" w:hAnsi="PT Astra Serif" w:cs="PT Astra Serif"/>
          <w:sz w:val="24"/>
          <w:szCs w:val="24"/>
        </w:rPr>
        <w:t xml:space="preserve"> при организации дошкольного и школьного обслуживания в сельской местности необходимо предусматривать систему подвоза детей. Транспортному обслуживанию подлежат учащиеся общеобразовательных учреждений, проживающие на расстоянии свыше 2 - 4 км от учреждения. Подвоз учащихся осуществляется на транспорте, предназначенном для перевозки детей. Время пути не должно превышать 30 минут в одну сторону.</w:t>
      </w:r>
    </w:p>
    <w:p w14:paraId="3CCF29E8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14:paraId="72877063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Остановка транспорта оборудуется навесом, огражденным с трех сторон, защищена барьером от проезжей части дороги, имеет твердое покрытие и обзорность не менее 250 м со стороны дороги.</w:t>
      </w:r>
    </w:p>
    <w:p w14:paraId="50EF6E44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0C65FA8D" w14:textId="77777777" w:rsidR="00C013B4" w:rsidRPr="00AF7D59" w:rsidRDefault="002E6FC5">
      <w:pPr>
        <w:pStyle w:val="ConsPlusNormal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AF7D59">
        <w:rPr>
          <w:rFonts w:ascii="PT Astra Serif" w:hAnsi="PT Astra Serif" w:cs="PT Astra Serif"/>
          <w:b/>
          <w:bCs/>
          <w:sz w:val="24"/>
          <w:szCs w:val="24"/>
        </w:rPr>
        <w:t>Объекты здравоохранения</w:t>
      </w:r>
    </w:p>
    <w:p w14:paraId="3F49B084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090581C3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Расчетные показатели минимально допустимого уровня обеспеченности объектами и максимально допустимого уровня территориальной доступности объектов в области здравоохранения для Красногорского района приведены в таблице 4.4.1.</w:t>
      </w:r>
    </w:p>
    <w:p w14:paraId="334FC618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166F5FA9" w14:textId="77777777" w:rsidR="00C013B4" w:rsidRPr="00AF7D59" w:rsidRDefault="002E6FC5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Таблица 4.4.1</w:t>
      </w:r>
    </w:p>
    <w:p w14:paraId="49B5A12C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3175"/>
        <w:gridCol w:w="3844"/>
      </w:tblGrid>
      <w:tr w:rsidR="00C013B4" w:rsidRPr="00AF7D59" w14:paraId="78C83A96" w14:textId="77777777">
        <w:tc>
          <w:tcPr>
            <w:tcW w:w="2721" w:type="dxa"/>
          </w:tcPr>
          <w:p w14:paraId="57F4F976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Наименование одного или нескольких видов объектов местного значения муниципального образования</w:t>
            </w:r>
          </w:p>
        </w:tc>
        <w:tc>
          <w:tcPr>
            <w:tcW w:w="3175" w:type="dxa"/>
          </w:tcPr>
          <w:p w14:paraId="6C1313F5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Расчетные показатели минимально допустимого уровня обеспеченности объектами</w:t>
            </w:r>
          </w:p>
        </w:tc>
        <w:tc>
          <w:tcPr>
            <w:tcW w:w="3844" w:type="dxa"/>
          </w:tcPr>
          <w:p w14:paraId="32F19404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Расчетные показатели максимально допустимого уровня территориальной доступности объектов</w:t>
            </w:r>
          </w:p>
        </w:tc>
      </w:tr>
      <w:tr w:rsidR="00C013B4" w:rsidRPr="00AF7D59" w14:paraId="611A77F2" w14:textId="77777777">
        <w:tc>
          <w:tcPr>
            <w:tcW w:w="2721" w:type="dxa"/>
          </w:tcPr>
          <w:p w14:paraId="347C843B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Амбулаторно-поликлинические учреждения</w:t>
            </w:r>
          </w:p>
        </w:tc>
        <w:tc>
          <w:tcPr>
            <w:tcW w:w="3175" w:type="dxa"/>
          </w:tcPr>
          <w:p w14:paraId="27E9891A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По заданию на проектирование, определяемому органами здравоохранения, но не менее 18,15 посещений в смену</w:t>
            </w:r>
          </w:p>
        </w:tc>
        <w:tc>
          <w:tcPr>
            <w:tcW w:w="3844" w:type="dxa"/>
          </w:tcPr>
          <w:p w14:paraId="453D70BA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40 минут транспортной доступности</w:t>
            </w:r>
          </w:p>
        </w:tc>
      </w:tr>
      <w:tr w:rsidR="00C013B4" w:rsidRPr="00AF7D59" w14:paraId="46D0D201" w14:textId="77777777">
        <w:tc>
          <w:tcPr>
            <w:tcW w:w="2721" w:type="dxa"/>
          </w:tcPr>
          <w:p w14:paraId="4F7859BA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Фельдшерско-акушерские пункты</w:t>
            </w:r>
          </w:p>
        </w:tc>
        <w:tc>
          <w:tcPr>
            <w:tcW w:w="3175" w:type="dxa"/>
          </w:tcPr>
          <w:p w14:paraId="5717141A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1 на 0,7 тыс. жителей</w:t>
            </w:r>
          </w:p>
        </w:tc>
        <w:tc>
          <w:tcPr>
            <w:tcW w:w="3844" w:type="dxa"/>
          </w:tcPr>
          <w:p w14:paraId="2B6B19FD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30 минут транспортной доступности</w:t>
            </w:r>
          </w:p>
        </w:tc>
      </w:tr>
      <w:tr w:rsidR="00C013B4" w:rsidRPr="00AF7D59" w14:paraId="1B7ECC3E" w14:textId="77777777">
        <w:tc>
          <w:tcPr>
            <w:tcW w:w="2721" w:type="dxa"/>
          </w:tcPr>
          <w:p w14:paraId="54155B0F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Станции (подстанции) скорой помощи</w:t>
            </w:r>
          </w:p>
        </w:tc>
        <w:tc>
          <w:tcPr>
            <w:tcW w:w="3175" w:type="dxa"/>
          </w:tcPr>
          <w:p w14:paraId="52534177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1 автомобиль на 3 тыс. жителей</w:t>
            </w:r>
          </w:p>
        </w:tc>
        <w:tc>
          <w:tcPr>
            <w:tcW w:w="3844" w:type="dxa"/>
          </w:tcPr>
          <w:p w14:paraId="5F034519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30 минут доступности на автомобиле, оборудованном специальными внешними световыми приборами и звуковыми сигналами</w:t>
            </w:r>
          </w:p>
        </w:tc>
      </w:tr>
      <w:tr w:rsidR="00C013B4" w:rsidRPr="00AF7D59" w14:paraId="385C4B5F" w14:textId="77777777">
        <w:tc>
          <w:tcPr>
            <w:tcW w:w="2721" w:type="dxa"/>
          </w:tcPr>
          <w:p w14:paraId="6A6E192C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Стационары всех типов со вспомогательными зданиями и сооружениями</w:t>
            </w:r>
          </w:p>
        </w:tc>
        <w:tc>
          <w:tcPr>
            <w:tcW w:w="3175" w:type="dxa"/>
          </w:tcPr>
          <w:p w14:paraId="1CC8A519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По заданию на проектирование, определяемому органами здравоохранения, но не менее 13,47 коек/1000 чел.</w:t>
            </w:r>
          </w:p>
        </w:tc>
        <w:tc>
          <w:tcPr>
            <w:tcW w:w="3844" w:type="dxa"/>
          </w:tcPr>
          <w:p w14:paraId="58726A13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 xml:space="preserve">В соответствии с </w:t>
            </w:r>
            <w:hyperlink r:id="rId21">
              <w:r w:rsidRPr="00AF7D59">
                <w:rPr>
                  <w:rFonts w:ascii="PT Astra Serif" w:hAnsi="PT Astra Serif" w:cs="PT Astra Serif"/>
                  <w:color w:val="0000FF"/>
                  <w:sz w:val="24"/>
                  <w:szCs w:val="24"/>
                </w:rPr>
                <w:t>Нормативами</w:t>
              </w:r>
            </w:hyperlink>
            <w:r w:rsidRPr="00AF7D59">
              <w:rPr>
                <w:rFonts w:ascii="PT Astra Serif" w:hAnsi="PT Astra Serif" w:cs="PT Astra Serif"/>
                <w:sz w:val="24"/>
                <w:szCs w:val="24"/>
              </w:rPr>
              <w:t xml:space="preserve"> градостроительного проектирования по Удмуртской Республике, утвержденными постановлением Удмуртской </w:t>
            </w:r>
            <w:r w:rsidRPr="00AF7D59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Республики от 04.06.2019 N 228</w:t>
            </w:r>
          </w:p>
        </w:tc>
      </w:tr>
    </w:tbl>
    <w:p w14:paraId="47C447A4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4FFD2708" w14:textId="77777777" w:rsidR="00C013B4" w:rsidRPr="00AF7D59" w:rsidRDefault="002E6FC5">
      <w:pPr>
        <w:pStyle w:val="ConsPlusNormal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AF7D59">
        <w:rPr>
          <w:rFonts w:ascii="PT Astra Serif" w:hAnsi="PT Astra Serif" w:cs="PT Astra Serif"/>
          <w:b/>
          <w:bCs/>
          <w:sz w:val="24"/>
          <w:szCs w:val="24"/>
        </w:rPr>
        <w:t>Объекты физической культуры и массового спорта</w:t>
      </w:r>
    </w:p>
    <w:p w14:paraId="3DCF508C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5551E140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4.5.1. Расчетные показатели минимально допустимого уровня обеспеченности и максимально допустимого уровня территориальной доступности объектами </w:t>
      </w:r>
      <w:proofErr w:type="gramStart"/>
      <w:r w:rsidRPr="00AF7D59">
        <w:rPr>
          <w:rFonts w:ascii="PT Astra Serif" w:hAnsi="PT Astra Serif" w:cs="PT Astra Serif"/>
          <w:sz w:val="24"/>
          <w:szCs w:val="24"/>
        </w:rPr>
        <w:t>в физической культуры</w:t>
      </w:r>
      <w:proofErr w:type="gramEnd"/>
      <w:r w:rsidRPr="00AF7D59">
        <w:rPr>
          <w:rFonts w:ascii="PT Astra Serif" w:hAnsi="PT Astra Serif" w:cs="PT Astra Serif"/>
          <w:sz w:val="24"/>
          <w:szCs w:val="24"/>
        </w:rPr>
        <w:t>, спорта и культуры для населения Красногорского района приведены в таблице 4.5.1.</w:t>
      </w:r>
    </w:p>
    <w:p w14:paraId="413B3EA6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18DF3D73" w14:textId="77777777" w:rsidR="00C013B4" w:rsidRPr="00AF7D59" w:rsidRDefault="002E6FC5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Таблица 4.5.1</w:t>
      </w:r>
    </w:p>
    <w:p w14:paraId="474521C5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3175"/>
        <w:gridCol w:w="3814"/>
      </w:tblGrid>
      <w:tr w:rsidR="00C013B4" w:rsidRPr="00AF7D59" w14:paraId="26EA1AA1" w14:textId="77777777">
        <w:tc>
          <w:tcPr>
            <w:tcW w:w="2721" w:type="dxa"/>
          </w:tcPr>
          <w:p w14:paraId="422D56DC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Наименование одного или нескольких видов объектов местного значения муниципального образования</w:t>
            </w:r>
          </w:p>
        </w:tc>
        <w:tc>
          <w:tcPr>
            <w:tcW w:w="3175" w:type="dxa"/>
          </w:tcPr>
          <w:p w14:paraId="606A1D06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Расчетные показатели минимально допустимого уровня обеспеченности объектами</w:t>
            </w:r>
          </w:p>
        </w:tc>
        <w:tc>
          <w:tcPr>
            <w:tcW w:w="3814" w:type="dxa"/>
          </w:tcPr>
          <w:p w14:paraId="61E8469F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Расчетные показатели максимально допустимого уровня территориальной доступности объектов</w:t>
            </w:r>
          </w:p>
        </w:tc>
      </w:tr>
      <w:tr w:rsidR="00C013B4" w:rsidRPr="00AF7D59" w14:paraId="70A4DDA0" w14:textId="77777777">
        <w:tc>
          <w:tcPr>
            <w:tcW w:w="2721" w:type="dxa"/>
          </w:tcPr>
          <w:p w14:paraId="7E0C564C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Плоскостные спортивные сооружения</w:t>
            </w:r>
          </w:p>
        </w:tc>
        <w:tc>
          <w:tcPr>
            <w:tcW w:w="3175" w:type="dxa"/>
          </w:tcPr>
          <w:p w14:paraId="3A578A36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7000 кв. м на 1000 жителей</w:t>
            </w:r>
          </w:p>
        </w:tc>
        <w:tc>
          <w:tcPr>
            <w:tcW w:w="3814" w:type="dxa"/>
          </w:tcPr>
          <w:p w14:paraId="4B5E02F9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40 минут транспортной доступности</w:t>
            </w:r>
          </w:p>
        </w:tc>
      </w:tr>
      <w:tr w:rsidR="00C013B4" w:rsidRPr="00AF7D59" w14:paraId="5EABAEBD" w14:textId="77777777">
        <w:tc>
          <w:tcPr>
            <w:tcW w:w="2721" w:type="dxa"/>
          </w:tcPr>
          <w:p w14:paraId="7FD734CA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Спортивные залы</w:t>
            </w:r>
          </w:p>
        </w:tc>
        <w:tc>
          <w:tcPr>
            <w:tcW w:w="3175" w:type="dxa"/>
          </w:tcPr>
          <w:p w14:paraId="7E111859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60 кв. м на 1000 жителей</w:t>
            </w:r>
          </w:p>
        </w:tc>
        <w:tc>
          <w:tcPr>
            <w:tcW w:w="3814" w:type="dxa"/>
          </w:tcPr>
          <w:p w14:paraId="70E00EFB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30 минут транспортной доступности</w:t>
            </w:r>
          </w:p>
        </w:tc>
      </w:tr>
    </w:tbl>
    <w:p w14:paraId="7B5B76BA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7EE6B740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4DE6BEEC" w14:textId="77777777" w:rsidR="00C013B4" w:rsidRPr="00AF7D59" w:rsidRDefault="002E6FC5">
      <w:pPr>
        <w:pStyle w:val="ConsPlusNormal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AF7D59">
        <w:rPr>
          <w:rFonts w:ascii="PT Astra Serif" w:hAnsi="PT Astra Serif" w:cs="PT Astra Serif"/>
          <w:b/>
          <w:bCs/>
          <w:sz w:val="24"/>
          <w:szCs w:val="24"/>
        </w:rPr>
        <w:t>Объекты культуры</w:t>
      </w:r>
    </w:p>
    <w:p w14:paraId="28373EC6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6A700001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Расчетные показатели минимально допустимого уровня обеспеченности и максимально допустимого уровня территориальной доступности объектами культуры для населения Красногорского района приведены в таблице 4.6.1.</w:t>
      </w:r>
    </w:p>
    <w:p w14:paraId="65BD0A8A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4DEA7E12" w14:textId="77777777" w:rsidR="00C013B4" w:rsidRPr="00AF7D59" w:rsidRDefault="002E6FC5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Таблица 4.6.1</w:t>
      </w:r>
    </w:p>
    <w:p w14:paraId="37F3663C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3175"/>
        <w:gridCol w:w="3799"/>
      </w:tblGrid>
      <w:tr w:rsidR="00C013B4" w:rsidRPr="00AF7D59" w14:paraId="253E87AD" w14:textId="77777777">
        <w:tc>
          <w:tcPr>
            <w:tcW w:w="2721" w:type="dxa"/>
          </w:tcPr>
          <w:p w14:paraId="0FA5E2A4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Наименование одного или нескольких видов объектов местного значения муниципального образования</w:t>
            </w:r>
          </w:p>
        </w:tc>
        <w:tc>
          <w:tcPr>
            <w:tcW w:w="3175" w:type="dxa"/>
          </w:tcPr>
          <w:p w14:paraId="69F4750F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Расчетные показатели минимально допустимого уровня обеспеченности объектами</w:t>
            </w:r>
          </w:p>
        </w:tc>
        <w:tc>
          <w:tcPr>
            <w:tcW w:w="3799" w:type="dxa"/>
          </w:tcPr>
          <w:p w14:paraId="623BA53A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Расчетные показатели максимально допустимого уровня территориальной доступности объектов</w:t>
            </w:r>
          </w:p>
        </w:tc>
      </w:tr>
      <w:tr w:rsidR="00C013B4" w:rsidRPr="00AF7D59" w14:paraId="5FD5A3F4" w14:textId="77777777">
        <w:tc>
          <w:tcPr>
            <w:tcW w:w="2721" w:type="dxa"/>
          </w:tcPr>
          <w:p w14:paraId="6AE7B703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AF7D59">
              <w:rPr>
                <w:rFonts w:ascii="PT Astra Serif" w:hAnsi="PT Astra Serif" w:cs="PT Astra Serif"/>
                <w:sz w:val="24"/>
                <w:szCs w:val="24"/>
              </w:rPr>
              <w:t>Межпоселенческая</w:t>
            </w:r>
            <w:proofErr w:type="spellEnd"/>
            <w:r w:rsidRPr="00AF7D59">
              <w:rPr>
                <w:rFonts w:ascii="PT Astra Serif" w:hAnsi="PT Astra Serif" w:cs="PT Astra Serif"/>
                <w:sz w:val="24"/>
                <w:szCs w:val="24"/>
              </w:rPr>
              <w:t xml:space="preserve"> библиотека</w:t>
            </w:r>
          </w:p>
        </w:tc>
        <w:tc>
          <w:tcPr>
            <w:tcW w:w="3175" w:type="dxa"/>
          </w:tcPr>
          <w:p w14:paraId="5664CCA6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1 библиотека на административный центр района</w:t>
            </w:r>
          </w:p>
        </w:tc>
        <w:tc>
          <w:tcPr>
            <w:tcW w:w="3799" w:type="dxa"/>
          </w:tcPr>
          <w:p w14:paraId="740BDF22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15 - 30 минут шаговой доступности;</w:t>
            </w:r>
          </w:p>
          <w:p w14:paraId="067C0B99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30 минут - 1 час транспортной доступности</w:t>
            </w:r>
          </w:p>
        </w:tc>
      </w:tr>
      <w:tr w:rsidR="00C013B4" w:rsidRPr="00AF7D59" w14:paraId="45A3BE07" w14:textId="77777777">
        <w:tc>
          <w:tcPr>
            <w:tcW w:w="2721" w:type="dxa"/>
          </w:tcPr>
          <w:p w14:paraId="21FFAA66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Детская библиотека</w:t>
            </w:r>
          </w:p>
        </w:tc>
        <w:tc>
          <w:tcPr>
            <w:tcW w:w="3175" w:type="dxa"/>
          </w:tcPr>
          <w:p w14:paraId="6838CDF7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1 библиотека на административный центр района</w:t>
            </w:r>
          </w:p>
        </w:tc>
        <w:tc>
          <w:tcPr>
            <w:tcW w:w="3799" w:type="dxa"/>
          </w:tcPr>
          <w:p w14:paraId="66425E6F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15 - 30 минут шаговой доступности;</w:t>
            </w:r>
          </w:p>
          <w:p w14:paraId="1B2DC322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30 минут - 1 час транспортной доступности</w:t>
            </w:r>
          </w:p>
        </w:tc>
      </w:tr>
      <w:tr w:rsidR="00C013B4" w:rsidRPr="00AF7D59" w14:paraId="2A86424F" w14:textId="77777777">
        <w:tc>
          <w:tcPr>
            <w:tcW w:w="2721" w:type="dxa"/>
          </w:tcPr>
          <w:p w14:paraId="35BDE1BE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Районный Дом культуры</w:t>
            </w:r>
          </w:p>
        </w:tc>
        <w:tc>
          <w:tcPr>
            <w:tcW w:w="3175" w:type="dxa"/>
          </w:tcPr>
          <w:p w14:paraId="508A0FA3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независимо от количества населения</w:t>
            </w:r>
          </w:p>
        </w:tc>
        <w:tc>
          <w:tcPr>
            <w:tcW w:w="3799" w:type="dxa"/>
          </w:tcPr>
          <w:p w14:paraId="5B86C358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15 - 30 минут шаговой доступности;</w:t>
            </w:r>
          </w:p>
          <w:p w14:paraId="5C00ECB8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30 минут транспортной доступности</w:t>
            </w:r>
          </w:p>
        </w:tc>
      </w:tr>
      <w:tr w:rsidR="00C013B4" w:rsidRPr="00AF7D59" w14:paraId="7E45EEE8" w14:textId="77777777">
        <w:tc>
          <w:tcPr>
            <w:tcW w:w="2721" w:type="dxa"/>
          </w:tcPr>
          <w:p w14:paraId="7BAAA703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Районный Дом ремесел</w:t>
            </w:r>
          </w:p>
        </w:tc>
        <w:tc>
          <w:tcPr>
            <w:tcW w:w="3175" w:type="dxa"/>
          </w:tcPr>
          <w:p w14:paraId="5CD627E2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независимо от количества населения</w:t>
            </w:r>
          </w:p>
        </w:tc>
        <w:tc>
          <w:tcPr>
            <w:tcW w:w="3799" w:type="dxa"/>
          </w:tcPr>
          <w:p w14:paraId="1EC4E471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15 - 30 минут шаговой доступности;</w:t>
            </w:r>
          </w:p>
          <w:p w14:paraId="027C86A4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30 минут транспортной доступности</w:t>
            </w:r>
          </w:p>
        </w:tc>
      </w:tr>
      <w:tr w:rsidR="00C013B4" w:rsidRPr="00AF7D59" w14:paraId="08A92B18" w14:textId="77777777">
        <w:tc>
          <w:tcPr>
            <w:tcW w:w="2721" w:type="dxa"/>
          </w:tcPr>
          <w:p w14:paraId="5BEB365D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Районный методический центр</w:t>
            </w:r>
          </w:p>
        </w:tc>
        <w:tc>
          <w:tcPr>
            <w:tcW w:w="3175" w:type="dxa"/>
          </w:tcPr>
          <w:p w14:paraId="699176E8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независимо от количества населения</w:t>
            </w:r>
          </w:p>
        </w:tc>
        <w:tc>
          <w:tcPr>
            <w:tcW w:w="3799" w:type="dxa"/>
          </w:tcPr>
          <w:p w14:paraId="0C8B9C6B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15 - 30 минут шаговой доступности;</w:t>
            </w:r>
          </w:p>
          <w:p w14:paraId="62FC6B31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30 минут транспортной доступности</w:t>
            </w:r>
          </w:p>
        </w:tc>
      </w:tr>
      <w:tr w:rsidR="00C013B4" w:rsidRPr="00AF7D59" w14:paraId="52930ECE" w14:textId="77777777">
        <w:tc>
          <w:tcPr>
            <w:tcW w:w="2721" w:type="dxa"/>
          </w:tcPr>
          <w:p w14:paraId="5CE6E799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Дом культуры, сельский клуб</w:t>
            </w:r>
          </w:p>
        </w:tc>
        <w:tc>
          <w:tcPr>
            <w:tcW w:w="3175" w:type="dxa"/>
          </w:tcPr>
          <w:p w14:paraId="214FB50C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1 клуб на 1 тыс. жителей</w:t>
            </w:r>
          </w:p>
        </w:tc>
        <w:tc>
          <w:tcPr>
            <w:tcW w:w="3799" w:type="dxa"/>
          </w:tcPr>
          <w:p w14:paraId="09E14662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15 - 30 минут шаговой доступности;</w:t>
            </w:r>
          </w:p>
          <w:p w14:paraId="2255D9D9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30 минут транспортной доступности</w:t>
            </w:r>
          </w:p>
        </w:tc>
      </w:tr>
      <w:tr w:rsidR="00C013B4" w:rsidRPr="00AF7D59" w14:paraId="7E3AEF28" w14:textId="77777777">
        <w:tc>
          <w:tcPr>
            <w:tcW w:w="2721" w:type="dxa"/>
          </w:tcPr>
          <w:p w14:paraId="6EABDEC8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Историко-художественный музей</w:t>
            </w:r>
          </w:p>
        </w:tc>
        <w:tc>
          <w:tcPr>
            <w:tcW w:w="3175" w:type="dxa"/>
          </w:tcPr>
          <w:p w14:paraId="528E98B7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независимо от количества населения</w:t>
            </w:r>
          </w:p>
        </w:tc>
        <w:tc>
          <w:tcPr>
            <w:tcW w:w="3799" w:type="dxa"/>
          </w:tcPr>
          <w:p w14:paraId="43857A46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15 - 30 минут шаговой доступности;</w:t>
            </w:r>
          </w:p>
          <w:p w14:paraId="72B0A871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30 минут - 1 час транспортной доступности</w:t>
            </w:r>
          </w:p>
        </w:tc>
      </w:tr>
    </w:tbl>
    <w:p w14:paraId="35F5D854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3F294BBC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2E4B3002" w14:textId="77777777" w:rsidR="00C013B4" w:rsidRPr="00AF7D59" w:rsidRDefault="002E6FC5">
      <w:pPr>
        <w:pStyle w:val="ConsPlusNormal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AF7D59">
        <w:rPr>
          <w:rFonts w:ascii="PT Astra Serif" w:hAnsi="PT Astra Serif" w:cs="PT Astra Serif"/>
          <w:b/>
          <w:bCs/>
          <w:sz w:val="24"/>
          <w:szCs w:val="24"/>
        </w:rPr>
        <w:t>Объекты общественного питания торговли</w:t>
      </w:r>
    </w:p>
    <w:p w14:paraId="157D85DC" w14:textId="77777777" w:rsidR="00C013B4" w:rsidRPr="00AF7D59" w:rsidRDefault="002E6FC5">
      <w:pPr>
        <w:pStyle w:val="ConsPlusNormal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AF7D59">
        <w:rPr>
          <w:rFonts w:ascii="PT Astra Serif" w:hAnsi="PT Astra Serif" w:cs="PT Astra Serif"/>
          <w:b/>
          <w:bCs/>
          <w:sz w:val="24"/>
          <w:szCs w:val="24"/>
        </w:rPr>
        <w:t>и бытового обслуживания</w:t>
      </w:r>
    </w:p>
    <w:p w14:paraId="0B850731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0971941B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4.7.1 Расчетные показатели минимально допустимого уровня обеспеченности и максимально допустимого уровня территориальной доступности объектами общественного питания, торговли и бытового обслуживания для населения Увинского района приведены в таблице 4.7.1.</w:t>
      </w:r>
    </w:p>
    <w:p w14:paraId="654B9737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178DA0B4" w14:textId="77777777" w:rsidR="00C013B4" w:rsidRPr="00AF7D59" w:rsidRDefault="002E6FC5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Таблица 4.7.1</w:t>
      </w:r>
    </w:p>
    <w:p w14:paraId="2F5AD376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3175"/>
        <w:gridCol w:w="3754"/>
      </w:tblGrid>
      <w:tr w:rsidR="00C013B4" w:rsidRPr="00AF7D59" w14:paraId="73ECEA69" w14:textId="77777777">
        <w:tc>
          <w:tcPr>
            <w:tcW w:w="2721" w:type="dxa"/>
          </w:tcPr>
          <w:p w14:paraId="4A6F26F0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Наименование одного или нескольких видов объектов местного значения муниципального образования</w:t>
            </w:r>
          </w:p>
        </w:tc>
        <w:tc>
          <w:tcPr>
            <w:tcW w:w="3175" w:type="dxa"/>
          </w:tcPr>
          <w:p w14:paraId="2535B38F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Расчетные показатели минимально допустимого уровня обеспеченности объектами</w:t>
            </w:r>
          </w:p>
        </w:tc>
        <w:tc>
          <w:tcPr>
            <w:tcW w:w="3754" w:type="dxa"/>
          </w:tcPr>
          <w:p w14:paraId="18363DC8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Расчетные показатели максимально допустимого уровня территориальной доступности объектов</w:t>
            </w:r>
          </w:p>
        </w:tc>
      </w:tr>
      <w:tr w:rsidR="00C013B4" w:rsidRPr="00AF7D59" w14:paraId="2AAABE09" w14:textId="77777777">
        <w:tc>
          <w:tcPr>
            <w:tcW w:w="2721" w:type="dxa"/>
          </w:tcPr>
          <w:p w14:paraId="62E9A64B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Торговые центры</w:t>
            </w:r>
          </w:p>
        </w:tc>
        <w:tc>
          <w:tcPr>
            <w:tcW w:w="3175" w:type="dxa"/>
          </w:tcPr>
          <w:p w14:paraId="389D77AB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 xml:space="preserve">326 кв. м торговой площади на 1000 жителей </w:t>
            </w:r>
            <w:hyperlink w:anchor="P433">
              <w:r w:rsidRPr="00AF7D59">
                <w:rPr>
                  <w:rFonts w:ascii="PT Astra Serif" w:hAnsi="PT Astra Serif" w:cs="PT Astra Serif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54" w:type="dxa"/>
          </w:tcPr>
          <w:p w14:paraId="0C04AE98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30 минут транспортной доступности</w:t>
            </w:r>
          </w:p>
        </w:tc>
      </w:tr>
      <w:tr w:rsidR="00C013B4" w:rsidRPr="00AF7D59" w14:paraId="5DDECD92" w14:textId="77777777">
        <w:tc>
          <w:tcPr>
            <w:tcW w:w="2721" w:type="dxa"/>
          </w:tcPr>
          <w:p w14:paraId="73491750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Магазин продовольственных товаров</w:t>
            </w:r>
          </w:p>
        </w:tc>
        <w:tc>
          <w:tcPr>
            <w:tcW w:w="3175" w:type="dxa"/>
          </w:tcPr>
          <w:p w14:paraId="5610532B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 xml:space="preserve">119 кв. м торговой площади на 1000 жителей </w:t>
            </w:r>
            <w:hyperlink w:anchor="P433">
              <w:r w:rsidRPr="00AF7D59">
                <w:rPr>
                  <w:rFonts w:ascii="PT Astra Serif" w:hAnsi="PT Astra Serif" w:cs="PT Astra Serif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54" w:type="dxa"/>
          </w:tcPr>
          <w:p w14:paraId="4B53833E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15 минут пешеходной доступности</w:t>
            </w:r>
          </w:p>
        </w:tc>
      </w:tr>
      <w:tr w:rsidR="00C013B4" w:rsidRPr="00AF7D59" w14:paraId="7D5A1F49" w14:textId="77777777">
        <w:tc>
          <w:tcPr>
            <w:tcW w:w="2721" w:type="dxa"/>
          </w:tcPr>
          <w:p w14:paraId="47813108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Магазин непродовольственных товаров</w:t>
            </w:r>
          </w:p>
        </w:tc>
        <w:tc>
          <w:tcPr>
            <w:tcW w:w="3175" w:type="dxa"/>
          </w:tcPr>
          <w:p w14:paraId="4242D553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 xml:space="preserve">207 кв. м торговой площади на 1000 жителей </w:t>
            </w:r>
            <w:hyperlink w:anchor="P433">
              <w:r w:rsidRPr="00AF7D59">
                <w:rPr>
                  <w:rFonts w:ascii="PT Astra Serif" w:hAnsi="PT Astra Serif" w:cs="PT Astra Serif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754" w:type="dxa"/>
          </w:tcPr>
          <w:p w14:paraId="18FEADB1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30 минут пешеходной доступности</w:t>
            </w:r>
          </w:p>
        </w:tc>
      </w:tr>
      <w:tr w:rsidR="00C013B4" w:rsidRPr="00AF7D59" w14:paraId="59FE9CAD" w14:textId="77777777">
        <w:tc>
          <w:tcPr>
            <w:tcW w:w="2721" w:type="dxa"/>
          </w:tcPr>
          <w:p w14:paraId="056F385F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Предприятие общественного питания</w:t>
            </w:r>
          </w:p>
        </w:tc>
        <w:tc>
          <w:tcPr>
            <w:tcW w:w="3175" w:type="dxa"/>
          </w:tcPr>
          <w:p w14:paraId="16D249F0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40 посадочных мест на 1000 жителей</w:t>
            </w:r>
          </w:p>
        </w:tc>
        <w:tc>
          <w:tcPr>
            <w:tcW w:w="3754" w:type="dxa"/>
          </w:tcPr>
          <w:p w14:paraId="1C6B4339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30 минут транспортной доступности</w:t>
            </w:r>
          </w:p>
        </w:tc>
      </w:tr>
      <w:tr w:rsidR="00C013B4" w:rsidRPr="00AF7D59" w14:paraId="436623F8" w14:textId="77777777">
        <w:tc>
          <w:tcPr>
            <w:tcW w:w="2721" w:type="dxa"/>
          </w:tcPr>
          <w:p w14:paraId="17CD70D1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Предприятия бытового обслуживания населения</w:t>
            </w:r>
          </w:p>
        </w:tc>
        <w:tc>
          <w:tcPr>
            <w:tcW w:w="3175" w:type="dxa"/>
          </w:tcPr>
          <w:p w14:paraId="3F6DBED8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4 рабочих мест на 1000 жителей</w:t>
            </w:r>
          </w:p>
        </w:tc>
        <w:tc>
          <w:tcPr>
            <w:tcW w:w="3754" w:type="dxa"/>
          </w:tcPr>
          <w:p w14:paraId="703F31CB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30 минут транспортной доступности</w:t>
            </w:r>
          </w:p>
        </w:tc>
      </w:tr>
    </w:tbl>
    <w:p w14:paraId="407EB83C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586EB927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lastRenderedPageBreak/>
        <w:t>Примечание:</w:t>
      </w:r>
    </w:p>
    <w:p w14:paraId="2AC1E177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bookmarkStart w:id="1" w:name="P433"/>
      <w:bookmarkEnd w:id="1"/>
      <w:r w:rsidRPr="00AF7D59">
        <w:rPr>
          <w:rFonts w:ascii="PT Astra Serif" w:hAnsi="PT Astra Serif" w:cs="PT Astra Serif"/>
          <w:sz w:val="24"/>
          <w:szCs w:val="24"/>
        </w:rPr>
        <w:t xml:space="preserve">&lt;*&gt; В соответствии с </w:t>
      </w:r>
      <w:hyperlink r:id="rId22">
        <w:r w:rsidRPr="00AF7D59">
          <w:rPr>
            <w:rFonts w:ascii="PT Astra Serif" w:hAnsi="PT Astra Serif" w:cs="PT Astra Serif"/>
            <w:color w:val="0000FF"/>
            <w:sz w:val="24"/>
            <w:szCs w:val="24"/>
          </w:rPr>
          <w:t>постановлением</w:t>
        </w:r>
      </w:hyperlink>
      <w:r w:rsidRPr="00AF7D59">
        <w:rPr>
          <w:rFonts w:ascii="PT Astra Serif" w:hAnsi="PT Astra Serif" w:cs="PT Astra Serif"/>
          <w:sz w:val="24"/>
          <w:szCs w:val="24"/>
        </w:rPr>
        <w:t xml:space="preserve"> Правительства УР от 29.08.2023 N 580 "Об утверждении нормативов минимальной обеспеченности населения Удмуртской Республики площадью торговых объектов".</w:t>
      </w:r>
    </w:p>
    <w:p w14:paraId="6AF352F7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13C2CB8A" w14:textId="77777777" w:rsidR="00C013B4" w:rsidRPr="00AF7D59" w:rsidRDefault="002E6FC5">
      <w:pPr>
        <w:pStyle w:val="ConsPlusNormal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AF7D59">
        <w:rPr>
          <w:rFonts w:ascii="PT Astra Serif" w:hAnsi="PT Astra Serif" w:cs="PT Astra Serif"/>
          <w:b/>
          <w:bCs/>
          <w:sz w:val="24"/>
          <w:szCs w:val="24"/>
        </w:rPr>
        <w:t>Объекты размещения, обезвреживания и утилизации твердых</w:t>
      </w:r>
    </w:p>
    <w:p w14:paraId="33071FB6" w14:textId="77777777" w:rsidR="00C013B4" w:rsidRPr="00AF7D59" w:rsidRDefault="002E6FC5">
      <w:pPr>
        <w:pStyle w:val="ConsPlusNormal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AF7D59">
        <w:rPr>
          <w:rFonts w:ascii="PT Astra Serif" w:hAnsi="PT Astra Serif" w:cs="PT Astra Serif"/>
          <w:b/>
          <w:bCs/>
          <w:sz w:val="24"/>
          <w:szCs w:val="24"/>
        </w:rPr>
        <w:t>коммунальных отходов</w:t>
      </w:r>
    </w:p>
    <w:p w14:paraId="335853E6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5E975CAB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4.8.1. Расчетные показатели минимально допустимого уровня обеспеченности и максимально допустимого уровня территориальной доступности объектов обработки, утилизации, обезвреживания, размещения отходов приведены в таблице 4.8.1.</w:t>
      </w:r>
    </w:p>
    <w:p w14:paraId="6FCAFC36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593A99A1" w14:textId="77777777" w:rsidR="00C013B4" w:rsidRPr="00AF7D59" w:rsidRDefault="002E6FC5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Таблица 4.8.1</w:t>
      </w:r>
    </w:p>
    <w:p w14:paraId="382492A0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3175"/>
        <w:gridCol w:w="3739"/>
      </w:tblGrid>
      <w:tr w:rsidR="00C013B4" w:rsidRPr="00AF7D59" w14:paraId="2237713D" w14:textId="77777777">
        <w:tc>
          <w:tcPr>
            <w:tcW w:w="2721" w:type="dxa"/>
            <w:vMerge w:val="restart"/>
          </w:tcPr>
          <w:p w14:paraId="6E19D57F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Наименование объектов</w:t>
            </w:r>
          </w:p>
        </w:tc>
        <w:tc>
          <w:tcPr>
            <w:tcW w:w="6914" w:type="dxa"/>
            <w:gridSpan w:val="2"/>
          </w:tcPr>
          <w:p w14:paraId="70204D03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Расчетные показатели</w:t>
            </w:r>
          </w:p>
        </w:tc>
      </w:tr>
      <w:tr w:rsidR="00C013B4" w:rsidRPr="00AF7D59" w14:paraId="4BC9BB7C" w14:textId="77777777">
        <w:tc>
          <w:tcPr>
            <w:tcW w:w="2721" w:type="dxa"/>
            <w:vMerge/>
          </w:tcPr>
          <w:p w14:paraId="44000275" w14:textId="77777777" w:rsidR="00C013B4" w:rsidRPr="00AF7D59" w:rsidRDefault="00C013B4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175" w:type="dxa"/>
          </w:tcPr>
          <w:p w14:paraId="4F6B1F6A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минимально допустимого уровня обеспеченности</w:t>
            </w:r>
          </w:p>
        </w:tc>
        <w:tc>
          <w:tcPr>
            <w:tcW w:w="3739" w:type="dxa"/>
          </w:tcPr>
          <w:p w14:paraId="5BA10856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максимально допустимого уровня территориальной доступности</w:t>
            </w:r>
          </w:p>
        </w:tc>
      </w:tr>
      <w:tr w:rsidR="00C013B4" w:rsidRPr="00AF7D59" w14:paraId="045B132D" w14:textId="77777777">
        <w:tc>
          <w:tcPr>
            <w:tcW w:w="2721" w:type="dxa"/>
          </w:tcPr>
          <w:p w14:paraId="152A61A3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Объекты обработки, утилизации, обезвреживания, размещения отходов</w:t>
            </w:r>
          </w:p>
        </w:tc>
        <w:tc>
          <w:tcPr>
            <w:tcW w:w="3175" w:type="dxa"/>
          </w:tcPr>
          <w:p w14:paraId="15F058AC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Определяется территориальной схемой обращения с отходами, в том числе с твердыми коммунальными отходами, на территории Удмуртской Республики</w:t>
            </w:r>
          </w:p>
        </w:tc>
        <w:tc>
          <w:tcPr>
            <w:tcW w:w="3739" w:type="dxa"/>
          </w:tcPr>
          <w:p w14:paraId="408689A3" w14:textId="77777777" w:rsidR="00C013B4" w:rsidRPr="00AF7D59" w:rsidRDefault="002E6FC5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Не нормируется</w:t>
            </w:r>
          </w:p>
        </w:tc>
      </w:tr>
    </w:tbl>
    <w:p w14:paraId="34FB5A79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29CAA57B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Размещение временных площадок для хранения твердых коммунальных отходов на территории Красногорского района недопустимо.</w:t>
      </w:r>
    </w:p>
    <w:p w14:paraId="5E3B2B23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Размещение, хранение и утилизация твердых бытовых отходов на территории Красногорского района </w:t>
      </w:r>
      <w:proofErr w:type="gramStart"/>
      <w:r w:rsidRPr="00AF7D59">
        <w:rPr>
          <w:rFonts w:ascii="PT Astra Serif" w:hAnsi="PT Astra Serif" w:cs="PT Astra Serif"/>
          <w:sz w:val="24"/>
          <w:szCs w:val="24"/>
        </w:rPr>
        <w:t>недопустимо .</w:t>
      </w:r>
      <w:proofErr w:type="gramEnd"/>
    </w:p>
    <w:p w14:paraId="1EF2B42F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5FF73A13" w14:textId="77777777" w:rsidR="00C013B4" w:rsidRPr="00AF7D59" w:rsidRDefault="002E6FC5">
      <w:pPr>
        <w:pStyle w:val="ConsPlusNormal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AF7D59">
        <w:rPr>
          <w:rFonts w:ascii="PT Astra Serif" w:hAnsi="PT Astra Serif" w:cs="PT Astra Serif"/>
          <w:b/>
          <w:bCs/>
          <w:sz w:val="24"/>
          <w:szCs w:val="24"/>
        </w:rPr>
        <w:t>Объекты защиты населения и охраны общественного порядка</w:t>
      </w:r>
    </w:p>
    <w:p w14:paraId="2A7BE44A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6DF1A83F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4.9.1 Расчетные показатели минимально допустимого уровня обеспеченности и максимально допустимого уровня территориальной доступности объектами гражданской обороны, защиты населения и охраны общественного порядка для населения Красногорского района приведены в таблице 4.9.1.</w:t>
      </w:r>
    </w:p>
    <w:p w14:paraId="6AD07005" w14:textId="77777777" w:rsidR="00C013B4" w:rsidRPr="00AF7D59" w:rsidRDefault="002E6FC5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Таблица 4.9.1</w:t>
      </w:r>
    </w:p>
    <w:p w14:paraId="596668D3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70"/>
        <w:gridCol w:w="3450"/>
        <w:gridCol w:w="3360"/>
      </w:tblGrid>
      <w:tr w:rsidR="00C013B4" w:rsidRPr="00AF7D59" w14:paraId="562352A2" w14:textId="77777777">
        <w:tc>
          <w:tcPr>
            <w:tcW w:w="2870" w:type="dxa"/>
          </w:tcPr>
          <w:p w14:paraId="48D04DFA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Наименование одного или нескольких видов объектов местного значения муниципального образования</w:t>
            </w:r>
          </w:p>
        </w:tc>
        <w:tc>
          <w:tcPr>
            <w:tcW w:w="3450" w:type="dxa"/>
          </w:tcPr>
          <w:p w14:paraId="7A4C5C2A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Расчетные показатели минимально допустимого уровня обеспеченности объектами</w:t>
            </w:r>
          </w:p>
        </w:tc>
        <w:tc>
          <w:tcPr>
            <w:tcW w:w="3360" w:type="dxa"/>
          </w:tcPr>
          <w:p w14:paraId="5E78AA1F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Расчетные показатели максимально допустимого уровня территориальной доступности объектов</w:t>
            </w:r>
          </w:p>
        </w:tc>
      </w:tr>
      <w:tr w:rsidR="00C013B4" w:rsidRPr="00AF7D59" w14:paraId="5192C745" w14:textId="77777777">
        <w:tc>
          <w:tcPr>
            <w:tcW w:w="2870" w:type="dxa"/>
          </w:tcPr>
          <w:p w14:paraId="2425F5DB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Помещение участкового уполномоченного полиции</w:t>
            </w:r>
          </w:p>
        </w:tc>
        <w:tc>
          <w:tcPr>
            <w:tcW w:w="3450" w:type="dxa"/>
          </w:tcPr>
          <w:p w14:paraId="5F55A6B4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1 помещение в муниципальном образовании</w:t>
            </w:r>
          </w:p>
        </w:tc>
        <w:tc>
          <w:tcPr>
            <w:tcW w:w="3360" w:type="dxa"/>
          </w:tcPr>
          <w:p w14:paraId="73E9208D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20 минут транспортной доступности</w:t>
            </w:r>
          </w:p>
        </w:tc>
      </w:tr>
    </w:tbl>
    <w:p w14:paraId="06F37A43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45A607CC" w14:textId="77777777" w:rsidR="00C013B4" w:rsidRPr="00AF7D59" w:rsidRDefault="002E6FC5">
      <w:pPr>
        <w:pStyle w:val="ConsPlusNormal"/>
        <w:ind w:firstLine="567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AF7D59">
        <w:rPr>
          <w:rFonts w:ascii="PT Astra Serif" w:hAnsi="PT Astra Serif" w:cs="PT Astra Serif"/>
          <w:b/>
          <w:bCs/>
          <w:sz w:val="24"/>
          <w:szCs w:val="24"/>
        </w:rPr>
        <w:t>Объекты велосипедной инфраструктуры</w:t>
      </w:r>
    </w:p>
    <w:p w14:paraId="0D860470" w14:textId="77777777" w:rsidR="00C013B4" w:rsidRPr="00AF7D59" w:rsidRDefault="00C013B4">
      <w:pPr>
        <w:pStyle w:val="ConsPlusNormal"/>
        <w:ind w:firstLine="567"/>
        <w:jc w:val="both"/>
        <w:rPr>
          <w:rFonts w:ascii="PT Astra Serif" w:hAnsi="PT Astra Serif" w:cs="PT Astra Serif"/>
          <w:sz w:val="24"/>
          <w:szCs w:val="24"/>
        </w:rPr>
      </w:pPr>
    </w:p>
    <w:p w14:paraId="696502AB" w14:textId="77777777" w:rsidR="00C013B4" w:rsidRPr="00AF7D59" w:rsidRDefault="002E6FC5">
      <w:pPr>
        <w:pStyle w:val="ConsPlusNormal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lastRenderedPageBreak/>
        <w:t xml:space="preserve">4.10 Расчетные показатели допустимого уровня обеспеченности объектами велосипедной инфраструктуры представлены в таблицах 4.10.1 и 4.10.2 </w:t>
      </w:r>
    </w:p>
    <w:p w14:paraId="63244CFC" w14:textId="77777777" w:rsidR="00C013B4" w:rsidRPr="00AF7D59" w:rsidRDefault="00C013B4">
      <w:pPr>
        <w:pStyle w:val="ConsPlusNormal"/>
        <w:ind w:firstLine="567"/>
        <w:jc w:val="both"/>
        <w:rPr>
          <w:rFonts w:ascii="PT Astra Serif" w:hAnsi="PT Astra Serif" w:cs="PT Astra Serif"/>
          <w:sz w:val="24"/>
          <w:szCs w:val="24"/>
        </w:rPr>
      </w:pPr>
    </w:p>
    <w:p w14:paraId="02AA4AD9" w14:textId="77777777" w:rsidR="00C013B4" w:rsidRPr="00AF7D59" w:rsidRDefault="002E6FC5">
      <w:pPr>
        <w:autoSpaceDE w:val="0"/>
        <w:autoSpaceDN w:val="0"/>
        <w:adjustRightInd w:val="0"/>
        <w:jc w:val="both"/>
        <w:rPr>
          <w:rFonts w:ascii="PT Astra Serif" w:hAnsi="PT Astra Serif" w:cs="PT Astra Serif"/>
        </w:rPr>
      </w:pPr>
      <w:r w:rsidRPr="00AF7D59">
        <w:rPr>
          <w:rFonts w:ascii="PT Astra Serif" w:hAnsi="PT Astra Serif" w:cs="PT Astra Serif"/>
        </w:rPr>
        <w:t xml:space="preserve">Основные характеристики велодорожек, </w:t>
      </w:r>
      <w:proofErr w:type="spellStart"/>
      <w:r w:rsidRPr="00AF7D59">
        <w:rPr>
          <w:rFonts w:ascii="PT Astra Serif" w:hAnsi="PT Astra Serif" w:cs="PT Astra Serif"/>
        </w:rPr>
        <w:t>велопешеходных</w:t>
      </w:r>
      <w:proofErr w:type="spellEnd"/>
      <w:r w:rsidRPr="00AF7D59">
        <w:rPr>
          <w:rFonts w:ascii="PT Astra Serif" w:hAnsi="PT Astra Serif" w:cs="PT Astra Serif"/>
        </w:rPr>
        <w:t xml:space="preserve"> дорожек представлены в таблице 4.10.1</w:t>
      </w:r>
    </w:p>
    <w:p w14:paraId="5A061E81" w14:textId="77777777" w:rsidR="00C013B4" w:rsidRPr="00AF7D59" w:rsidRDefault="002E6FC5">
      <w:pPr>
        <w:pStyle w:val="ConsPlusNormal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Таблица 4.10.1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4422"/>
        <w:gridCol w:w="2252"/>
        <w:gridCol w:w="2552"/>
      </w:tblGrid>
      <w:tr w:rsidR="00C013B4" w:rsidRPr="00AF7D59" w14:paraId="1EE5AB4B" w14:textId="77777777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1322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N п/п</w:t>
            </w:r>
          </w:p>
        </w:tc>
        <w:tc>
          <w:tcPr>
            <w:tcW w:w="4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C8C8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Нормируемый параметр</w:t>
            </w:r>
          </w:p>
        </w:tc>
        <w:tc>
          <w:tcPr>
            <w:tcW w:w="4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7ACB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Минимальные значения</w:t>
            </w:r>
          </w:p>
        </w:tc>
      </w:tr>
      <w:tr w:rsidR="00C013B4" w:rsidRPr="00AF7D59" w14:paraId="7C0CB1C8" w14:textId="77777777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254C" w14:textId="77777777" w:rsidR="00C013B4" w:rsidRPr="00AF7D59" w:rsidRDefault="00C013B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4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D8A1" w14:textId="77777777" w:rsidR="00C013B4" w:rsidRPr="00AF7D59" w:rsidRDefault="00C013B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9ACB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при новом строительстве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0C5A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в стесненных условиях</w:t>
            </w:r>
          </w:p>
        </w:tc>
      </w:tr>
      <w:tr w:rsidR="00C013B4" w:rsidRPr="00AF7D59" w14:paraId="56593CC5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44BD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BC89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9E40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C5DB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4</w:t>
            </w:r>
          </w:p>
        </w:tc>
      </w:tr>
      <w:tr w:rsidR="00C013B4" w:rsidRPr="00AF7D59" w14:paraId="33A715F8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4615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86A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Расчетная скорость движения, км/ч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AA9B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DCD0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15</w:t>
            </w:r>
          </w:p>
        </w:tc>
      </w:tr>
      <w:tr w:rsidR="00C013B4" w:rsidRPr="00AF7D59" w14:paraId="0CC656F2" w14:textId="77777777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8F0E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6DC42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Ширина проезжей части для движения, м, не менее: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CB774" w14:textId="77777777" w:rsidR="00C013B4" w:rsidRPr="00AF7D59" w:rsidRDefault="00C013B4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6B123" w14:textId="77777777" w:rsidR="00C013B4" w:rsidRPr="00AF7D59" w:rsidRDefault="00C013B4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</w:p>
        </w:tc>
      </w:tr>
      <w:tr w:rsidR="00C013B4" w:rsidRPr="00AF7D59" w14:paraId="523B4AB5" w14:textId="77777777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437A" w14:textId="77777777" w:rsidR="00C013B4" w:rsidRPr="00AF7D59" w:rsidRDefault="00C013B4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</w:tcPr>
          <w:p w14:paraId="61E376AF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однополосного одностороннего</w:t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</w:tcPr>
          <w:p w14:paraId="6E4D0FD5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1,0 - 1,5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1D654CAD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0,75 - 1,0</w:t>
            </w:r>
          </w:p>
        </w:tc>
      </w:tr>
      <w:tr w:rsidR="00C013B4" w:rsidRPr="00AF7D59" w14:paraId="5E9BEFE1" w14:textId="77777777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F4FE" w14:textId="77777777" w:rsidR="00C013B4" w:rsidRPr="00AF7D59" w:rsidRDefault="00C013B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</w:tcPr>
          <w:p w14:paraId="779C9C0C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двухполосного одностороннего</w:t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</w:tcPr>
          <w:p w14:paraId="4E1B6827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1,75 - 2,5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C777A4F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1,50</w:t>
            </w:r>
          </w:p>
        </w:tc>
      </w:tr>
      <w:tr w:rsidR="00C013B4" w:rsidRPr="00AF7D59" w14:paraId="5DFC9335" w14:textId="77777777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A02" w14:textId="77777777" w:rsidR="00C013B4" w:rsidRPr="00AF7D59" w:rsidRDefault="00C013B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4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6E74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двухполосного со встречным движением</w:t>
            </w:r>
          </w:p>
        </w:tc>
        <w:tc>
          <w:tcPr>
            <w:tcW w:w="2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15CE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2,50 - 3,6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6C7C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2,00</w:t>
            </w:r>
          </w:p>
        </w:tc>
      </w:tr>
      <w:tr w:rsidR="00C013B4" w:rsidRPr="00AF7D59" w14:paraId="58D446CC" w14:textId="77777777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4101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29AA7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Ширина велосипедной и пешеходной дорожки с разделением движения дорожной разметкой, м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3E9F5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 xml:space="preserve">4,0 - 6,0 </w:t>
            </w:r>
            <w:hyperlink w:anchor="Par49" w:history="1">
              <w:r w:rsidRPr="00AF7D59">
                <w:rPr>
                  <w:rFonts w:ascii="PT Astra Serif" w:hAnsi="PT Astra Serif" w:cs="PT Astra Serif"/>
                  <w:color w:val="0000FF"/>
                </w:rPr>
                <w:t>&lt;*&gt;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B34E6B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 xml:space="preserve">3,25 </w:t>
            </w:r>
            <w:hyperlink w:anchor="Par50" w:history="1">
              <w:r w:rsidRPr="00AF7D59">
                <w:rPr>
                  <w:rFonts w:ascii="PT Astra Serif" w:hAnsi="PT Astra Serif" w:cs="PT Astra Serif"/>
                  <w:color w:val="0000FF"/>
                </w:rPr>
                <w:t>&lt;**&gt;</w:t>
              </w:r>
            </w:hyperlink>
          </w:p>
        </w:tc>
      </w:tr>
      <w:tr w:rsidR="00C013B4" w:rsidRPr="00AF7D59" w14:paraId="66E81746" w14:textId="77777777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D78D" w14:textId="77777777" w:rsidR="00C013B4" w:rsidRPr="00AF7D59" w:rsidRDefault="00C013B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4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1517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 xml:space="preserve">Ширина </w:t>
            </w:r>
            <w:proofErr w:type="spellStart"/>
            <w:r w:rsidRPr="00AF7D59">
              <w:rPr>
                <w:rFonts w:ascii="PT Astra Serif" w:hAnsi="PT Astra Serif" w:cs="PT Astra Serif"/>
              </w:rPr>
              <w:t>велопешеходной</w:t>
            </w:r>
            <w:proofErr w:type="spellEnd"/>
            <w:r w:rsidRPr="00AF7D59">
              <w:rPr>
                <w:rFonts w:ascii="PT Astra Serif" w:hAnsi="PT Astra Serif" w:cs="PT Astra Serif"/>
              </w:rPr>
              <w:t xml:space="preserve"> дорожки, м</w:t>
            </w:r>
          </w:p>
        </w:tc>
        <w:tc>
          <w:tcPr>
            <w:tcW w:w="2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D729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 xml:space="preserve">2,5 - 3,0 </w:t>
            </w:r>
            <w:hyperlink w:anchor="Par51" w:history="1">
              <w:r w:rsidRPr="00AF7D59">
                <w:rPr>
                  <w:rFonts w:ascii="PT Astra Serif" w:hAnsi="PT Astra Serif" w:cs="PT Astra Serif"/>
                  <w:color w:val="0000FF"/>
                </w:rPr>
                <w:t>&lt;***&gt;</w:t>
              </w:r>
            </w:hyperlink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4EDB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 xml:space="preserve">2,0 </w:t>
            </w:r>
            <w:hyperlink w:anchor="Par52" w:history="1">
              <w:r w:rsidRPr="00AF7D59">
                <w:rPr>
                  <w:rFonts w:ascii="PT Astra Serif" w:hAnsi="PT Astra Serif" w:cs="PT Astra Serif"/>
                  <w:color w:val="0000FF"/>
                </w:rPr>
                <w:t>&lt;****&gt;</w:t>
              </w:r>
            </w:hyperlink>
          </w:p>
        </w:tc>
      </w:tr>
      <w:tr w:rsidR="00C013B4" w:rsidRPr="00AF7D59" w14:paraId="54522444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D209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9BE8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Наибольший продольный уклон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D7D7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40 - 60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34A9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50 - 70</w:t>
            </w:r>
          </w:p>
        </w:tc>
      </w:tr>
      <w:tr w:rsidR="00C013B4" w:rsidRPr="00AF7D59" w14:paraId="00DD3329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1BB1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5116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Поперечный уклон проезжей части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6F2A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15 - 20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849B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20</w:t>
            </w:r>
          </w:p>
        </w:tc>
      </w:tr>
      <w:tr w:rsidR="00C013B4" w:rsidRPr="00AF7D59" w14:paraId="6FCC8D1F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6152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4DD2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Габарит по высоте, м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5E15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2,50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41F1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2,25</w:t>
            </w:r>
          </w:p>
        </w:tc>
      </w:tr>
      <w:tr w:rsidR="00C013B4" w:rsidRPr="00AF7D59" w14:paraId="6F3FBBDC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BE8C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C413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Минимальное расстояние до бокового препятствия, м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BDC2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0,50 согласно "</w:t>
            </w:r>
            <w:hyperlink r:id="rId23" w:history="1">
              <w:r w:rsidRPr="00AF7D59">
                <w:rPr>
                  <w:rFonts w:ascii="PT Astra Serif" w:hAnsi="PT Astra Serif" w:cs="PT Astra Serif"/>
                  <w:color w:val="0000FF"/>
                </w:rPr>
                <w:t>СП 396.1325800.2018</w:t>
              </w:r>
            </w:hyperlink>
            <w:r w:rsidRPr="00AF7D59">
              <w:rPr>
                <w:rFonts w:ascii="PT Astra Serif" w:hAnsi="PT Astra Serif" w:cs="PT Astra Serif"/>
              </w:rPr>
              <w:t>. Свод правил. Улицы и дороги населенных пунктов. Правила градостроительного проектирования" (далее - СП 396.1325800.2018)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7F70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 xml:space="preserve">0,50 согласно </w:t>
            </w:r>
            <w:hyperlink r:id="rId24" w:history="1">
              <w:r w:rsidRPr="00AF7D59">
                <w:rPr>
                  <w:rFonts w:ascii="PT Astra Serif" w:hAnsi="PT Astra Serif" w:cs="PT Astra Serif"/>
                  <w:color w:val="0000FF"/>
                </w:rPr>
                <w:t>СП 396.1325800.2018</w:t>
              </w:r>
            </w:hyperlink>
          </w:p>
        </w:tc>
      </w:tr>
      <w:tr w:rsidR="00C013B4" w:rsidRPr="00AF7D59" w14:paraId="34F8F30D" w14:textId="77777777"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6CE65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bookmarkStart w:id="2" w:name="Par49"/>
            <w:bookmarkEnd w:id="2"/>
            <w:r w:rsidRPr="00AF7D59">
              <w:rPr>
                <w:rFonts w:ascii="PT Astra Serif" w:hAnsi="PT Astra Serif" w:cs="PT Astra Serif"/>
              </w:rPr>
              <w:t>&lt;*&gt; Ширина пешеходной дорожки 1,5 м, велосипедной - 2,5 м.</w:t>
            </w:r>
          </w:p>
        </w:tc>
      </w:tr>
      <w:tr w:rsidR="00C013B4" w:rsidRPr="00AF7D59" w14:paraId="4F7AA613" w14:textId="77777777">
        <w:tc>
          <w:tcPr>
            <w:tcW w:w="968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D910506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bookmarkStart w:id="3" w:name="Par50"/>
            <w:bookmarkEnd w:id="3"/>
            <w:r w:rsidRPr="00AF7D59">
              <w:rPr>
                <w:rFonts w:ascii="PT Astra Serif" w:hAnsi="PT Astra Serif" w:cs="PT Astra Serif"/>
              </w:rPr>
              <w:t>&lt;**&gt; Ширина пешеходной дорожки 1,5 м, велосипедной - 1,75 м.</w:t>
            </w:r>
          </w:p>
        </w:tc>
      </w:tr>
      <w:tr w:rsidR="00C013B4" w:rsidRPr="00AF7D59" w14:paraId="11265614" w14:textId="77777777">
        <w:tc>
          <w:tcPr>
            <w:tcW w:w="968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F41FA26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bookmarkStart w:id="4" w:name="Par51"/>
            <w:bookmarkEnd w:id="4"/>
            <w:r w:rsidRPr="00AF7D59">
              <w:rPr>
                <w:rFonts w:ascii="PT Astra Serif" w:hAnsi="PT Astra Serif" w:cs="PT Astra Serif"/>
              </w:rPr>
              <w:t xml:space="preserve">&lt;***&gt; При интенсивности движения не более 30 </w:t>
            </w:r>
            <w:proofErr w:type="gramStart"/>
            <w:r w:rsidRPr="00AF7D59">
              <w:rPr>
                <w:rFonts w:ascii="PT Astra Serif" w:hAnsi="PT Astra Serif" w:cs="PT Astra Serif"/>
              </w:rPr>
              <w:t>вел./</w:t>
            </w:r>
            <w:proofErr w:type="gramEnd"/>
            <w:r w:rsidRPr="00AF7D59">
              <w:rPr>
                <w:rFonts w:ascii="PT Astra Serif" w:hAnsi="PT Astra Serif" w:cs="PT Astra Serif"/>
              </w:rPr>
              <w:t>ч и 15 пеш./ч.</w:t>
            </w:r>
          </w:p>
        </w:tc>
      </w:tr>
      <w:tr w:rsidR="00C013B4" w:rsidRPr="00AF7D59" w14:paraId="18316DD6" w14:textId="77777777">
        <w:tc>
          <w:tcPr>
            <w:tcW w:w="96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01AE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bookmarkStart w:id="5" w:name="Par52"/>
            <w:bookmarkEnd w:id="5"/>
            <w:r w:rsidRPr="00AF7D59">
              <w:rPr>
                <w:rFonts w:ascii="PT Astra Serif" w:hAnsi="PT Astra Serif" w:cs="PT Astra Serif"/>
              </w:rPr>
              <w:t xml:space="preserve">&lt;****&gt; При интенсивности движения не более 30 </w:t>
            </w:r>
            <w:proofErr w:type="gramStart"/>
            <w:r w:rsidRPr="00AF7D59">
              <w:rPr>
                <w:rFonts w:ascii="PT Astra Serif" w:hAnsi="PT Astra Serif" w:cs="PT Astra Serif"/>
              </w:rPr>
              <w:t>вел./</w:t>
            </w:r>
            <w:proofErr w:type="gramEnd"/>
            <w:r w:rsidRPr="00AF7D59">
              <w:rPr>
                <w:rFonts w:ascii="PT Astra Serif" w:hAnsi="PT Astra Serif" w:cs="PT Astra Serif"/>
              </w:rPr>
              <w:t>ч и 50 пеш./ч.</w:t>
            </w:r>
          </w:p>
          <w:p w14:paraId="356A1D78" w14:textId="77777777" w:rsidR="00C013B4" w:rsidRPr="00AF7D59" w:rsidRDefault="002E6FC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 xml:space="preserve">Примечание. Устройство велосипедных дорожек и </w:t>
            </w:r>
            <w:proofErr w:type="spellStart"/>
            <w:r w:rsidRPr="00AF7D59">
              <w:rPr>
                <w:rFonts w:ascii="PT Astra Serif" w:hAnsi="PT Astra Serif" w:cs="PT Astra Serif"/>
              </w:rPr>
              <w:t>велопешеходных</w:t>
            </w:r>
            <w:proofErr w:type="spellEnd"/>
            <w:r w:rsidRPr="00AF7D59">
              <w:rPr>
                <w:rFonts w:ascii="PT Astra Serif" w:hAnsi="PT Astra Serif" w:cs="PT Astra Serif"/>
              </w:rPr>
              <w:t xml:space="preserve"> дорожек следует предусматривать в качестве самостоятельных элементов сети дорог на стадии проектирования, строительства и реконструкции участков сети дорог, зон жилой застройки, общественных центров, в том числе торговых центров, учебных заведений, зон рекреации, </w:t>
            </w:r>
            <w:r w:rsidRPr="00AF7D59">
              <w:rPr>
                <w:rFonts w:ascii="PT Astra Serif" w:hAnsi="PT Astra Serif" w:cs="PT Astra Serif"/>
              </w:rPr>
              <w:lastRenderedPageBreak/>
              <w:t>на объектах транспорта (включая автовокзалы, автостанции, станции поездов пригородного сообщения, остановочные пункты) и на подходах к ним.</w:t>
            </w:r>
          </w:p>
          <w:p w14:paraId="42F95358" w14:textId="77777777" w:rsidR="00C013B4" w:rsidRPr="00AF7D59" w:rsidRDefault="002E6FC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 xml:space="preserve">При размещении объектов нового строительства, предусматривающих комплексную многоквартирную жилую застройку, рекомендуется организовывать </w:t>
            </w:r>
            <w:proofErr w:type="spellStart"/>
            <w:r w:rsidRPr="00AF7D59">
              <w:rPr>
                <w:rFonts w:ascii="PT Astra Serif" w:hAnsi="PT Astra Serif" w:cs="PT Astra Serif"/>
              </w:rPr>
              <w:t>велотранспортную</w:t>
            </w:r>
            <w:proofErr w:type="spellEnd"/>
            <w:r w:rsidRPr="00AF7D59">
              <w:rPr>
                <w:rFonts w:ascii="PT Astra Serif" w:hAnsi="PT Astra Serif" w:cs="PT Astra Serif"/>
              </w:rPr>
              <w:t xml:space="preserve"> инфраструктуру на рекреационных территориях, в том числе для детей в пределах участка, отведенного под застройку объекта.</w:t>
            </w:r>
          </w:p>
          <w:p w14:paraId="71FF2D22" w14:textId="77777777" w:rsidR="00C013B4" w:rsidRPr="00AF7D59" w:rsidRDefault="002E6FC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 xml:space="preserve">Велодорожки, </w:t>
            </w:r>
            <w:proofErr w:type="spellStart"/>
            <w:r w:rsidRPr="00AF7D59">
              <w:rPr>
                <w:rFonts w:ascii="PT Astra Serif" w:hAnsi="PT Astra Serif" w:cs="PT Astra Serif"/>
              </w:rPr>
              <w:t>велопешеходные</w:t>
            </w:r>
            <w:proofErr w:type="spellEnd"/>
            <w:r w:rsidRPr="00AF7D59">
              <w:rPr>
                <w:rFonts w:ascii="PT Astra Serif" w:hAnsi="PT Astra Serif" w:cs="PT Astra Serif"/>
              </w:rPr>
              <w:t xml:space="preserve"> дорожки должны размещаться вдоль автомобильных дорог общего пользования (элементов улично-дорожной сети населенного пункта), в жилых кварталах, в озелененных территориях общего пользования, вдоль набережных.</w:t>
            </w:r>
          </w:p>
          <w:p w14:paraId="65736D35" w14:textId="77777777" w:rsidR="00C013B4" w:rsidRPr="00AF7D59" w:rsidRDefault="002E6FC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В зонах массового отдыха населения и на других озелененных территориях рекомендуется предусматривать велодорожки, изолированные от улиц, дорог и пешеходного движения</w:t>
            </w:r>
          </w:p>
        </w:tc>
      </w:tr>
    </w:tbl>
    <w:p w14:paraId="3B4F6D94" w14:textId="77777777" w:rsidR="00C013B4" w:rsidRPr="00AF7D59" w:rsidRDefault="00C013B4">
      <w:pPr>
        <w:pStyle w:val="ConsPlusNormal"/>
        <w:ind w:firstLine="567"/>
        <w:jc w:val="both"/>
        <w:rPr>
          <w:rFonts w:ascii="PT Astra Serif" w:hAnsi="PT Astra Serif" w:cs="PT Astra Serif"/>
          <w:sz w:val="24"/>
          <w:szCs w:val="24"/>
        </w:rPr>
      </w:pPr>
    </w:p>
    <w:p w14:paraId="712BA180" w14:textId="77777777" w:rsidR="00C013B4" w:rsidRPr="00AF7D59" w:rsidRDefault="002E6FC5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Расчетные показатели количества парковочных мест для велосипедов представлены в таблице 4.10.2</w:t>
      </w:r>
    </w:p>
    <w:p w14:paraId="31DFAA6E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6C9A0C69" w14:textId="77777777" w:rsidR="00C013B4" w:rsidRPr="00AF7D59" w:rsidRDefault="002E6FC5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Таблица 4.10.2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5046"/>
        <w:gridCol w:w="4195"/>
      </w:tblGrid>
      <w:tr w:rsidR="00C013B4" w:rsidRPr="00AF7D59" w14:paraId="4EE50BA0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F8CD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N п/п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B69A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Тип объекта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FB9A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Расчетные показатели количества парковочных мест для велосипедов</w:t>
            </w:r>
          </w:p>
        </w:tc>
      </w:tr>
      <w:tr w:rsidR="00C013B4" w:rsidRPr="00AF7D59" w14:paraId="1FB5064C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DA4F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D2BB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1518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3</w:t>
            </w:r>
          </w:p>
        </w:tc>
      </w:tr>
      <w:tr w:rsidR="00C013B4" w:rsidRPr="00AF7D59" w14:paraId="7717E180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5D82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9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4482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Объекты административно-делового назначения</w:t>
            </w:r>
          </w:p>
        </w:tc>
      </w:tr>
      <w:tr w:rsidR="00C013B4" w:rsidRPr="00AF7D59" w14:paraId="7A0A2D86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E721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D21A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Коммерческо-деловые центры, офисные здания и помещения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059C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2 - 4 на 100 м</w:t>
            </w:r>
            <w:r w:rsidRPr="00AF7D59">
              <w:rPr>
                <w:rFonts w:ascii="PT Astra Serif" w:hAnsi="PT Astra Serif" w:cs="PT Astra Serif"/>
                <w:vertAlign w:val="superscript"/>
              </w:rPr>
              <w:t>2</w:t>
            </w:r>
          </w:p>
        </w:tc>
      </w:tr>
      <w:tr w:rsidR="00C013B4" w:rsidRPr="00AF7D59" w14:paraId="084A3B0C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778B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1817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Банки и банковские утверждения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094B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2 - 4 на 100 м</w:t>
            </w:r>
            <w:r w:rsidRPr="00AF7D59">
              <w:rPr>
                <w:rFonts w:ascii="PT Astra Serif" w:hAnsi="PT Astra Serif" w:cs="PT Astra Serif"/>
                <w:vertAlign w:val="superscript"/>
              </w:rPr>
              <w:t>2</w:t>
            </w:r>
          </w:p>
        </w:tc>
      </w:tr>
      <w:tr w:rsidR="00C013B4" w:rsidRPr="00AF7D59" w14:paraId="573E0E9C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E2B3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9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AE5D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Объекты науки и учебно-образовательного назначения</w:t>
            </w:r>
          </w:p>
        </w:tc>
      </w:tr>
      <w:tr w:rsidR="00C013B4" w:rsidRPr="00AF7D59" w14:paraId="3D73B920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54F0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1BA2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Высшие учебные заведения, профессиональные образовательные организации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E248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до 60 на 100 студентов</w:t>
            </w:r>
          </w:p>
        </w:tc>
      </w:tr>
      <w:tr w:rsidR="00C013B4" w:rsidRPr="00AF7D59" w14:paraId="55CD55E5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D9B8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1A32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Школы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CC67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до 50 на 100 школьников</w:t>
            </w:r>
          </w:p>
        </w:tc>
      </w:tr>
      <w:tr w:rsidR="00C013B4" w:rsidRPr="00AF7D59" w14:paraId="63958C52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2129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9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FC1B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Объекты торгово-бытового и коммунального назначения</w:t>
            </w:r>
          </w:p>
        </w:tc>
      </w:tr>
      <w:tr w:rsidR="00C013B4" w:rsidRPr="00AF7D59" w14:paraId="5D7E4074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10EF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9749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Специализированные объекты торгового назначения с широким ассортиментом товаров продовольственной и непродовольственной групп (отдельно стоящие супермаркеты)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C1B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5 - 7 на 100 м</w:t>
            </w:r>
            <w:r w:rsidRPr="00AF7D59">
              <w:rPr>
                <w:rFonts w:ascii="PT Astra Serif" w:hAnsi="PT Astra Serif" w:cs="PT Astra Serif"/>
                <w:vertAlign w:val="superscript"/>
              </w:rPr>
              <w:t>2</w:t>
            </w:r>
          </w:p>
        </w:tc>
      </w:tr>
      <w:tr w:rsidR="00C013B4" w:rsidRPr="00AF7D59" w14:paraId="6D3720C1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8844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9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88A5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Торговые центры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0A04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6 - 8 на 100 м</w:t>
            </w:r>
            <w:r w:rsidRPr="00AF7D59">
              <w:rPr>
                <w:rFonts w:ascii="PT Astra Serif" w:hAnsi="PT Astra Serif" w:cs="PT Astra Serif"/>
                <w:vertAlign w:val="superscript"/>
              </w:rPr>
              <w:t>2</w:t>
            </w:r>
          </w:p>
        </w:tc>
      </w:tr>
      <w:tr w:rsidR="00C013B4" w:rsidRPr="00AF7D59" w14:paraId="0A530D0A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7C21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10</w:t>
            </w:r>
          </w:p>
        </w:tc>
        <w:tc>
          <w:tcPr>
            <w:tcW w:w="9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ED1C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Объекты культуры и искусства</w:t>
            </w:r>
          </w:p>
        </w:tc>
      </w:tr>
      <w:tr w:rsidR="00C013B4" w:rsidRPr="00AF7D59" w14:paraId="53951040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DF26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11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8D36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Театры, концертные залы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281A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до 20 - 25 на 100 посетителей</w:t>
            </w:r>
          </w:p>
        </w:tc>
      </w:tr>
      <w:tr w:rsidR="00C013B4" w:rsidRPr="00AF7D59" w14:paraId="16E4BED3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3C2F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12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9975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Кинотеатры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1B29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до 25 на 100 единовременных посетителей</w:t>
            </w:r>
          </w:p>
        </w:tc>
      </w:tr>
      <w:tr w:rsidR="00C013B4" w:rsidRPr="00AF7D59" w14:paraId="6E5F7EC0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70B4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13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913E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Развлекательные центры, дискотеки, ночные клубы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C7EC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до 25 на 100 единовременных посетителей</w:t>
            </w:r>
          </w:p>
        </w:tc>
      </w:tr>
      <w:tr w:rsidR="00C013B4" w:rsidRPr="00AF7D59" w14:paraId="29F28FC8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79AB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14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80F1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Аттракционы/тематические парки развлечений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85FF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10 - 15 на 100 единовременных посетителей</w:t>
            </w:r>
          </w:p>
        </w:tc>
      </w:tr>
      <w:tr w:rsidR="00C013B4" w:rsidRPr="00AF7D59" w14:paraId="4442338B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C724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lastRenderedPageBreak/>
              <w:t>15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A7F8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Места отдыха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7A2E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20 - 35 на 100 единовременных посетителей</w:t>
            </w:r>
          </w:p>
        </w:tc>
      </w:tr>
      <w:tr w:rsidR="00C013B4" w:rsidRPr="00AF7D59" w14:paraId="695FD8D3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26A6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16</w:t>
            </w:r>
          </w:p>
        </w:tc>
        <w:tc>
          <w:tcPr>
            <w:tcW w:w="9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8F42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Объекты здравоохранения</w:t>
            </w:r>
          </w:p>
        </w:tc>
      </w:tr>
      <w:tr w:rsidR="00C013B4" w:rsidRPr="00AF7D59" w14:paraId="19054F93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0E9D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17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6F75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Поликлиники, в том числе амбулатории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ADD9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25 на 100 единовременных посетителей</w:t>
            </w:r>
          </w:p>
        </w:tc>
      </w:tr>
      <w:tr w:rsidR="00C013B4" w:rsidRPr="00AF7D59" w14:paraId="5B87B4FA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8A0C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18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F1C9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Больницы, профилактории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7693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до 30 на 100 коек</w:t>
            </w:r>
          </w:p>
        </w:tc>
      </w:tr>
      <w:tr w:rsidR="00C013B4" w:rsidRPr="00AF7D59" w14:paraId="42C62F26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B0EB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19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CF88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Специализированные клиники, реабилитационные центры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7C08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до 20 на 100 коек</w:t>
            </w:r>
          </w:p>
        </w:tc>
      </w:tr>
      <w:tr w:rsidR="00C013B4" w:rsidRPr="00AF7D59" w14:paraId="777C6FBC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A28A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20</w:t>
            </w:r>
          </w:p>
        </w:tc>
        <w:tc>
          <w:tcPr>
            <w:tcW w:w="9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6AE4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Объекты социального обслуживания населения</w:t>
            </w:r>
          </w:p>
        </w:tc>
      </w:tr>
      <w:tr w:rsidR="00C013B4" w:rsidRPr="00AF7D59" w14:paraId="642A316C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875D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21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0122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Интернаты и пансионаты для престарелых и инвалидов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430E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до 10 на 100 коек</w:t>
            </w:r>
          </w:p>
        </w:tc>
      </w:tr>
      <w:tr w:rsidR="00C013B4" w:rsidRPr="00AF7D59" w14:paraId="289E62ED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E50F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22</w:t>
            </w:r>
          </w:p>
        </w:tc>
        <w:tc>
          <w:tcPr>
            <w:tcW w:w="9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4EB6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Объекты физической культуры и спорта</w:t>
            </w:r>
          </w:p>
        </w:tc>
      </w:tr>
      <w:tr w:rsidR="00C013B4" w:rsidRPr="00AF7D59" w14:paraId="28B27EFF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EA86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23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FB03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Спортивные комплексы и стадионы с трибунами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5DE2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до 20 на 100 единовременных посетителей</w:t>
            </w:r>
          </w:p>
        </w:tc>
      </w:tr>
      <w:tr w:rsidR="00C013B4" w:rsidRPr="00AF7D59" w14:paraId="2E3AAADC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B295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24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F5F0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Спортивные площадки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E309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до 20 на поле</w:t>
            </w:r>
          </w:p>
        </w:tc>
      </w:tr>
      <w:tr w:rsidR="00C013B4" w:rsidRPr="00AF7D59" w14:paraId="2C72DD40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848E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25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EBC4" w14:textId="77777777" w:rsidR="00C013B4" w:rsidRPr="00AF7D59" w:rsidRDefault="002E6FC5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 xml:space="preserve">Оздоровительные комплексы (фитнес-клубы, </w:t>
            </w:r>
            <w:proofErr w:type="spellStart"/>
            <w:r w:rsidRPr="00AF7D59">
              <w:rPr>
                <w:rFonts w:ascii="PT Astra Serif" w:hAnsi="PT Astra Serif" w:cs="PT Astra Serif"/>
              </w:rPr>
              <w:t>ФОКи</w:t>
            </w:r>
            <w:proofErr w:type="spellEnd"/>
            <w:r w:rsidRPr="00AF7D59">
              <w:rPr>
                <w:rFonts w:ascii="PT Astra Serif" w:hAnsi="PT Astra Serif" w:cs="PT Astra Serif"/>
              </w:rPr>
              <w:t>, спортивные и тренажерные залы, бассейны)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902D" w14:textId="77777777" w:rsidR="00C013B4" w:rsidRPr="00AF7D59" w:rsidRDefault="002E6F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до 35 на 100 единовременных посетителей</w:t>
            </w:r>
          </w:p>
        </w:tc>
      </w:tr>
      <w:tr w:rsidR="00C013B4" w:rsidRPr="00AF7D59" w14:paraId="7BD45A02" w14:textId="77777777">
        <w:tc>
          <w:tcPr>
            <w:tcW w:w="9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9DFE" w14:textId="77777777" w:rsidR="00C013B4" w:rsidRPr="00AF7D59" w:rsidRDefault="002E6FC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 xml:space="preserve">Примечание. </w:t>
            </w:r>
            <w:proofErr w:type="spellStart"/>
            <w:r w:rsidRPr="00AF7D59">
              <w:rPr>
                <w:rFonts w:ascii="PT Astra Serif" w:hAnsi="PT Astra Serif" w:cs="PT Astra Serif"/>
              </w:rPr>
              <w:t>Велопарковки</w:t>
            </w:r>
            <w:proofErr w:type="spellEnd"/>
            <w:r w:rsidRPr="00AF7D59">
              <w:rPr>
                <w:rFonts w:ascii="PT Astra Serif" w:hAnsi="PT Astra Serif" w:cs="PT Astra Serif"/>
              </w:rPr>
              <w:t>, велостоянки устраиваются возле учебных заведений, кинотеатров, магазинов площадью более 100 м</w:t>
            </w:r>
            <w:r w:rsidRPr="00AF7D59">
              <w:rPr>
                <w:rFonts w:ascii="PT Astra Serif" w:hAnsi="PT Astra Serif" w:cs="PT Astra Serif"/>
                <w:vertAlign w:val="superscript"/>
              </w:rPr>
              <w:t>2</w:t>
            </w:r>
            <w:r w:rsidRPr="00AF7D59">
              <w:rPr>
                <w:rFonts w:ascii="PT Astra Serif" w:hAnsi="PT Astra Serif" w:cs="PT Astra Serif"/>
              </w:rPr>
              <w:t>, торговых центров, обзорных площадок, музеев, пересадочных узлов, иных объектов.</w:t>
            </w:r>
          </w:p>
          <w:p w14:paraId="591FE686" w14:textId="77777777" w:rsidR="00C013B4" w:rsidRPr="00AF7D59" w:rsidRDefault="002E6FC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Уличные велостоянки рекомендуется размещать на расстоянии не более 30 м от входа в учреждения, в хорошо освещенных местах с высокой интенсивностью пешеходного движения, в зоне обзора камер видеонаблюдения.</w:t>
            </w:r>
          </w:p>
          <w:p w14:paraId="37DB86EF" w14:textId="77777777" w:rsidR="00C013B4" w:rsidRPr="00AF7D59" w:rsidRDefault="002E6FC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</w:rPr>
            </w:pPr>
            <w:r w:rsidRPr="00AF7D59">
              <w:rPr>
                <w:rFonts w:ascii="PT Astra Serif" w:hAnsi="PT Astra Serif" w:cs="PT Astra Serif"/>
              </w:rPr>
              <w:t>При проектировании нового жилого дома рекомендуется предусматривать наличие мест постоянного хранения в количестве не менее 0,8 места на каждую квартиру. В существующих жилых зданиях количество мест определяется текущим спросом. Рекомендуется размещение велосипедов на место постоянного хранения в подвальных помещениях, специально отведенных помещениях в подъездах домов, велосипедных гаражах</w:t>
            </w:r>
          </w:p>
        </w:tc>
      </w:tr>
    </w:tbl>
    <w:p w14:paraId="1C8E011B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0ECD1E63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79EC3C20" w14:textId="77777777" w:rsidR="00C013B4" w:rsidRPr="00AF7D59" w:rsidRDefault="002E6FC5">
      <w:pPr>
        <w:pStyle w:val="ConsPlusTitle"/>
        <w:jc w:val="center"/>
        <w:outlineLvl w:val="1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Раздел II. МАТЕРИАЛЫ ПО ОБОСНОВАНИЮ РАСЧЕТНЫХ ПОКАЗАТЕЛЕЙ,</w:t>
      </w:r>
    </w:p>
    <w:p w14:paraId="76CB96C6" w14:textId="77777777" w:rsidR="00C013B4" w:rsidRPr="00AF7D59" w:rsidRDefault="002E6FC5">
      <w:pPr>
        <w:pStyle w:val="ConsPlusTitle"/>
        <w:jc w:val="center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СОДЕРЖАЩИХСЯ В ОСНОВНОЙ ЧАСТИ НОРМАТИВОВ ГРАДОСТРОИТЕЛЬНОГО</w:t>
      </w:r>
    </w:p>
    <w:p w14:paraId="7B643392" w14:textId="77777777" w:rsidR="00C013B4" w:rsidRPr="00AF7D59" w:rsidRDefault="002E6FC5">
      <w:pPr>
        <w:pStyle w:val="ConsPlusTitle"/>
        <w:jc w:val="center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ПРОЕКТИРОВАНИЯ</w:t>
      </w:r>
    </w:p>
    <w:p w14:paraId="4E1B5BCE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0A9DB9BE" w14:textId="77777777" w:rsidR="00C013B4" w:rsidRPr="00AF7D59" w:rsidRDefault="002E6FC5">
      <w:pPr>
        <w:pStyle w:val="ConsPlusTitle"/>
        <w:jc w:val="center"/>
        <w:outlineLvl w:val="2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5. Административно-территориальное устройство</w:t>
      </w:r>
    </w:p>
    <w:p w14:paraId="5FEB6193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640B1D0A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Красногорский муниципальный район образован 16 июля 1929 года, расположен в северо-западной части республики и на западе граничит с </w:t>
      </w:r>
      <w:hyperlink r:id="rId25" w:tooltip="Кировская область" w:history="1">
        <w:r w:rsidRPr="00AF7D59">
          <w:rPr>
            <w:rFonts w:ascii="PT Astra Serif" w:hAnsi="PT Astra Serif" w:cs="PT Astra Serif"/>
            <w:sz w:val="24"/>
            <w:szCs w:val="24"/>
          </w:rPr>
          <w:t>Кировской областью</w:t>
        </w:r>
      </w:hyperlink>
      <w:r w:rsidRPr="00AF7D59">
        <w:rPr>
          <w:rFonts w:ascii="PT Astra Serif" w:hAnsi="PT Astra Serif" w:cs="PT Astra Serif"/>
          <w:sz w:val="24"/>
          <w:szCs w:val="24"/>
        </w:rPr>
        <w:t>, на севере — с </w:t>
      </w:r>
      <w:hyperlink r:id="rId26" w:tooltip="Юкаменский район" w:history="1">
        <w:r w:rsidRPr="00AF7D59">
          <w:rPr>
            <w:rFonts w:ascii="PT Astra Serif" w:hAnsi="PT Astra Serif" w:cs="PT Astra Serif"/>
            <w:sz w:val="24"/>
            <w:szCs w:val="24"/>
          </w:rPr>
          <w:t>Юкаменским</w:t>
        </w:r>
      </w:hyperlink>
      <w:r w:rsidRPr="00AF7D59">
        <w:rPr>
          <w:rFonts w:ascii="PT Astra Serif" w:hAnsi="PT Astra Serif" w:cs="PT Astra Serif"/>
          <w:sz w:val="24"/>
          <w:szCs w:val="24"/>
        </w:rPr>
        <w:t>, </w:t>
      </w:r>
      <w:hyperlink r:id="rId27" w:tooltip="Глазовский район" w:history="1">
        <w:r w:rsidRPr="00AF7D59">
          <w:rPr>
            <w:rFonts w:ascii="PT Astra Serif" w:hAnsi="PT Astra Serif" w:cs="PT Astra Serif"/>
            <w:sz w:val="24"/>
            <w:szCs w:val="24"/>
          </w:rPr>
          <w:t>Глазовским</w:t>
        </w:r>
      </w:hyperlink>
      <w:r w:rsidRPr="00AF7D59">
        <w:rPr>
          <w:rFonts w:ascii="PT Astra Serif" w:hAnsi="PT Astra Serif" w:cs="PT Astra Serif"/>
          <w:sz w:val="24"/>
          <w:szCs w:val="24"/>
        </w:rPr>
        <w:t> и </w:t>
      </w:r>
      <w:hyperlink r:id="rId28" w:tooltip="Балезинский район" w:history="1">
        <w:r w:rsidRPr="00AF7D59">
          <w:rPr>
            <w:rFonts w:ascii="PT Astra Serif" w:hAnsi="PT Astra Serif" w:cs="PT Astra Serif"/>
            <w:sz w:val="24"/>
            <w:szCs w:val="24"/>
          </w:rPr>
          <w:t>Балезинским</w:t>
        </w:r>
      </w:hyperlink>
      <w:r w:rsidRPr="00AF7D59">
        <w:rPr>
          <w:rFonts w:ascii="PT Astra Serif" w:hAnsi="PT Astra Serif" w:cs="PT Astra Serif"/>
          <w:sz w:val="24"/>
          <w:szCs w:val="24"/>
        </w:rPr>
        <w:t> районами республики, на юго-востоке и юге — соответственно с </w:t>
      </w:r>
      <w:hyperlink r:id="rId29" w:tooltip="Игринский район" w:history="1">
        <w:r w:rsidRPr="00AF7D59">
          <w:rPr>
            <w:rFonts w:ascii="PT Astra Serif" w:hAnsi="PT Astra Serif" w:cs="PT Astra Serif"/>
            <w:sz w:val="24"/>
            <w:szCs w:val="24"/>
          </w:rPr>
          <w:t>Игринским</w:t>
        </w:r>
      </w:hyperlink>
      <w:r w:rsidRPr="00AF7D59">
        <w:rPr>
          <w:rFonts w:ascii="PT Astra Serif" w:hAnsi="PT Astra Serif" w:cs="PT Astra Serif"/>
          <w:sz w:val="24"/>
          <w:szCs w:val="24"/>
        </w:rPr>
        <w:t> и </w:t>
      </w:r>
      <w:hyperlink r:id="rId30" w:tooltip="Селтинский район" w:history="1">
        <w:r w:rsidRPr="00AF7D59">
          <w:rPr>
            <w:rFonts w:ascii="PT Astra Serif" w:hAnsi="PT Astra Serif" w:cs="PT Astra Serif"/>
            <w:sz w:val="24"/>
            <w:szCs w:val="24"/>
          </w:rPr>
          <w:t>Селтинским</w:t>
        </w:r>
      </w:hyperlink>
      <w:r w:rsidRPr="00AF7D59">
        <w:rPr>
          <w:rFonts w:ascii="PT Astra Serif" w:hAnsi="PT Astra Serif" w:cs="PT Astra Serif"/>
          <w:sz w:val="24"/>
          <w:szCs w:val="24"/>
        </w:rPr>
        <w:t> районами. Северная часть района расположена на </w:t>
      </w:r>
      <w:hyperlink r:id="rId31" w:tooltip="Красногорская возвышенность" w:history="1">
        <w:r w:rsidRPr="00AF7D59">
          <w:rPr>
            <w:rFonts w:ascii="PT Astra Serif" w:hAnsi="PT Astra Serif" w:cs="PT Astra Serif"/>
            <w:sz w:val="24"/>
            <w:szCs w:val="24"/>
          </w:rPr>
          <w:t>Красногорской возвышенности</w:t>
        </w:r>
      </w:hyperlink>
      <w:r w:rsidRPr="00AF7D59">
        <w:rPr>
          <w:rFonts w:ascii="PT Astra Serif" w:hAnsi="PT Astra Serif" w:cs="PT Astra Serif"/>
          <w:sz w:val="24"/>
          <w:szCs w:val="24"/>
        </w:rPr>
        <w:t>, а южная — в </w:t>
      </w:r>
      <w:hyperlink r:id="rId32" w:tooltip="Кильмезская низменность" w:history="1">
        <w:r w:rsidRPr="00AF7D59">
          <w:rPr>
            <w:rFonts w:ascii="PT Astra Serif" w:hAnsi="PT Astra Serif" w:cs="PT Astra Serif"/>
            <w:sz w:val="24"/>
            <w:szCs w:val="24"/>
          </w:rPr>
          <w:t>Кильмезской низменности</w:t>
        </w:r>
      </w:hyperlink>
      <w:r w:rsidRPr="00AF7D59">
        <w:rPr>
          <w:rFonts w:ascii="PT Astra Serif" w:hAnsi="PT Astra Serif" w:cs="PT Astra Serif"/>
          <w:sz w:val="24"/>
          <w:szCs w:val="24"/>
        </w:rPr>
        <w:t>. Площадь территории Красногорского района составляет - 1860,702 км</w:t>
      </w:r>
      <w:r w:rsidRPr="00AF7D59">
        <w:rPr>
          <w:rFonts w:ascii="PT Astra Serif" w:hAnsi="PT Astra Serif" w:cs="PT Astra Serif"/>
          <w:sz w:val="24"/>
          <w:szCs w:val="24"/>
          <w:vertAlign w:val="superscript"/>
        </w:rPr>
        <w:t>2</w:t>
      </w:r>
      <w:r w:rsidRPr="00AF7D59">
        <w:rPr>
          <w:rFonts w:ascii="PT Astra Serif" w:hAnsi="PT Astra Serif" w:cs="PT Astra Serif"/>
          <w:sz w:val="24"/>
          <w:szCs w:val="24"/>
        </w:rPr>
        <w:t>.</w:t>
      </w:r>
    </w:p>
    <w:p w14:paraId="19660444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Административный центр муниципального района - село Красногорское. На территории </w:t>
      </w:r>
      <w:r w:rsidRPr="00AF7D59">
        <w:rPr>
          <w:rFonts w:ascii="PT Astra Serif" w:hAnsi="PT Astra Serif" w:cs="PT Astra Serif"/>
          <w:sz w:val="24"/>
          <w:szCs w:val="24"/>
        </w:rPr>
        <w:lastRenderedPageBreak/>
        <w:t>района 10 муниципальных образований, 72 населенных пункта.</w:t>
      </w:r>
    </w:p>
    <w:p w14:paraId="79BE734D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 Район преимущественно сельскохозяйственный. Имеется 10 сельскохозяйственных предприятий, 7 крестьянских (фермерских) хозяйств, производящих товарные виды продукции. Направление специализации сельскохозяйственных предприятий: мясо-молочное </w:t>
      </w:r>
      <w:proofErr w:type="gramStart"/>
      <w:r w:rsidRPr="00AF7D59">
        <w:rPr>
          <w:rFonts w:ascii="PT Astra Serif" w:hAnsi="PT Astra Serif" w:cs="PT Astra Serif"/>
          <w:sz w:val="24"/>
          <w:szCs w:val="24"/>
        </w:rPr>
        <w:t>скотоводство..</w:t>
      </w:r>
      <w:proofErr w:type="gramEnd"/>
    </w:p>
    <w:p w14:paraId="1A5A3F92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Планировочную ткань района составляют, прежде всего, земли лесного фонда, а также земли сельскохозяйственного назначения.</w:t>
      </w:r>
    </w:p>
    <w:p w14:paraId="13457B6A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На территории МО «Красногорский район» находятся </w:t>
      </w:r>
      <w:proofErr w:type="spellStart"/>
      <w:r w:rsidRPr="00AF7D59">
        <w:rPr>
          <w:rFonts w:ascii="PT Astra Serif" w:hAnsi="PT Astra Serif" w:cs="PT Astra Serif"/>
          <w:sz w:val="24"/>
          <w:szCs w:val="24"/>
        </w:rPr>
        <w:t>особоохраняемые</w:t>
      </w:r>
      <w:proofErr w:type="spellEnd"/>
      <w:r w:rsidRPr="00AF7D59">
        <w:rPr>
          <w:rFonts w:ascii="PT Astra Serif" w:hAnsi="PT Astra Serif" w:cs="PT Astra Serif"/>
          <w:sz w:val="24"/>
          <w:szCs w:val="24"/>
        </w:rPr>
        <w:t xml:space="preserve"> природные территории (ООПТ).</w:t>
      </w:r>
    </w:p>
    <w:p w14:paraId="6B9C4DE6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По территории района протекает более 30 рек: </w:t>
      </w:r>
      <w:proofErr w:type="spellStart"/>
      <w:r w:rsidRPr="00AF7D59">
        <w:rPr>
          <w:rFonts w:ascii="PT Astra Serif" w:hAnsi="PT Astra Serif" w:cs="PT Astra Serif"/>
          <w:sz w:val="24"/>
          <w:szCs w:val="24"/>
        </w:rPr>
        <w:fldChar w:fldCharType="begin"/>
      </w:r>
      <w:r w:rsidRPr="00AF7D59">
        <w:rPr>
          <w:rFonts w:ascii="PT Astra Serif" w:hAnsi="PT Astra Serif" w:cs="PT Astra Serif"/>
          <w:sz w:val="24"/>
          <w:szCs w:val="24"/>
        </w:rPr>
        <w:instrText xml:space="preserve"> HYPERLINK "https://ru.wikipedia.org/wiki/%D0%A3%D1%82%D1%8C_(%D0%BF%D1%80%D0%B8%D1%82%D0%BE%D0%BA_%D0%9A%D0%B8%D0%BB%D1%8C%D0%BC%D0%B5%D0%B7%D0%B8)" \o "Уть (приток Кильмези)" </w:instrText>
      </w:r>
      <w:r w:rsidRPr="00AF7D59">
        <w:rPr>
          <w:rFonts w:ascii="PT Astra Serif" w:hAnsi="PT Astra Serif" w:cs="PT Astra Serif"/>
          <w:sz w:val="24"/>
          <w:szCs w:val="24"/>
        </w:rPr>
      </w:r>
      <w:r w:rsidRPr="00AF7D59">
        <w:rPr>
          <w:rFonts w:ascii="PT Astra Serif" w:hAnsi="PT Astra Serif" w:cs="PT Astra Serif"/>
          <w:sz w:val="24"/>
          <w:szCs w:val="24"/>
        </w:rPr>
        <w:fldChar w:fldCharType="separate"/>
      </w:r>
      <w:r w:rsidRPr="00AF7D59">
        <w:rPr>
          <w:rFonts w:ascii="PT Astra Serif" w:hAnsi="PT Astra Serif" w:cs="PT Astra Serif"/>
          <w:sz w:val="24"/>
          <w:szCs w:val="24"/>
        </w:rPr>
        <w:t>Уть</w:t>
      </w:r>
      <w:proofErr w:type="spellEnd"/>
      <w:r w:rsidRPr="00AF7D59">
        <w:rPr>
          <w:rFonts w:ascii="PT Astra Serif" w:hAnsi="PT Astra Serif" w:cs="PT Astra Serif"/>
          <w:sz w:val="24"/>
          <w:szCs w:val="24"/>
        </w:rPr>
        <w:fldChar w:fldCharType="end"/>
      </w:r>
      <w:r w:rsidRPr="00AF7D59">
        <w:rPr>
          <w:rFonts w:ascii="PT Astra Serif" w:hAnsi="PT Astra Serif" w:cs="PT Astra Serif"/>
          <w:sz w:val="24"/>
          <w:szCs w:val="24"/>
        </w:rPr>
        <w:t>, </w:t>
      </w:r>
      <w:hyperlink r:id="rId33" w:tooltip="Убыть" w:history="1">
        <w:r w:rsidRPr="00AF7D59">
          <w:rPr>
            <w:rFonts w:ascii="PT Astra Serif" w:hAnsi="PT Astra Serif" w:cs="PT Astra Serif"/>
            <w:sz w:val="24"/>
            <w:szCs w:val="24"/>
          </w:rPr>
          <w:t>Убыть</w:t>
        </w:r>
      </w:hyperlink>
      <w:r w:rsidRPr="00AF7D59">
        <w:rPr>
          <w:rFonts w:ascii="PT Astra Serif" w:hAnsi="PT Astra Serif" w:cs="PT Astra Serif"/>
          <w:sz w:val="24"/>
          <w:szCs w:val="24"/>
        </w:rPr>
        <w:t>, </w:t>
      </w:r>
      <w:hyperlink r:id="rId34" w:tooltip="Сепыч (приток Чепцы)" w:history="1">
        <w:r w:rsidRPr="00AF7D59">
          <w:rPr>
            <w:rFonts w:ascii="PT Astra Serif" w:hAnsi="PT Astra Serif" w:cs="PT Astra Serif"/>
            <w:sz w:val="24"/>
            <w:szCs w:val="24"/>
          </w:rPr>
          <w:t>Сепыч</w:t>
        </w:r>
      </w:hyperlink>
      <w:r w:rsidRPr="00AF7D59">
        <w:rPr>
          <w:rFonts w:ascii="PT Astra Serif" w:hAnsi="PT Astra Serif" w:cs="PT Astra Serif"/>
          <w:sz w:val="24"/>
          <w:szCs w:val="24"/>
        </w:rPr>
        <w:t>, </w:t>
      </w:r>
      <w:proofErr w:type="spellStart"/>
      <w:r w:rsidRPr="00AF7D59">
        <w:rPr>
          <w:rFonts w:ascii="PT Astra Serif" w:hAnsi="PT Astra Serif" w:cs="PT Astra Serif"/>
          <w:sz w:val="24"/>
          <w:szCs w:val="24"/>
        </w:rPr>
        <w:fldChar w:fldCharType="begin"/>
      </w:r>
      <w:r w:rsidRPr="00AF7D59">
        <w:rPr>
          <w:rFonts w:ascii="PT Astra Serif" w:hAnsi="PT Astra Serif" w:cs="PT Astra Serif"/>
          <w:sz w:val="24"/>
          <w:szCs w:val="24"/>
        </w:rPr>
        <w:instrText xml:space="preserve"> HYPERLINK "https://ru.wikipedia.org/w/index.php?title=%D0%9F%D0%B5%D1%81%D1%82%D0%B0%D1%80%D1%8C_(%D1%80%D0%B5%D0%BA%D0%B0)&amp;action=edit&amp;redlink=1" \o "Пестарь (река) (страница отсутствует)" </w:instrText>
      </w:r>
      <w:r w:rsidRPr="00AF7D59">
        <w:rPr>
          <w:rFonts w:ascii="PT Astra Serif" w:hAnsi="PT Astra Serif" w:cs="PT Astra Serif"/>
          <w:sz w:val="24"/>
          <w:szCs w:val="24"/>
        </w:rPr>
      </w:r>
      <w:r w:rsidRPr="00AF7D59">
        <w:rPr>
          <w:rFonts w:ascii="PT Astra Serif" w:hAnsi="PT Astra Serif" w:cs="PT Astra Serif"/>
          <w:sz w:val="24"/>
          <w:szCs w:val="24"/>
        </w:rPr>
        <w:fldChar w:fldCharType="separate"/>
      </w:r>
      <w:r w:rsidRPr="00AF7D59">
        <w:rPr>
          <w:rFonts w:ascii="PT Astra Serif" w:hAnsi="PT Astra Serif" w:cs="PT Astra Serif"/>
          <w:sz w:val="24"/>
          <w:szCs w:val="24"/>
        </w:rPr>
        <w:t>Пестерь</w:t>
      </w:r>
      <w:proofErr w:type="spellEnd"/>
      <w:r w:rsidRPr="00AF7D59">
        <w:rPr>
          <w:rFonts w:ascii="PT Astra Serif" w:hAnsi="PT Astra Serif" w:cs="PT Astra Serif"/>
          <w:sz w:val="24"/>
          <w:szCs w:val="24"/>
        </w:rPr>
        <w:fldChar w:fldCharType="end"/>
      </w:r>
      <w:r w:rsidRPr="00AF7D59">
        <w:rPr>
          <w:rFonts w:ascii="PT Astra Serif" w:hAnsi="PT Astra Serif" w:cs="PT Astra Serif"/>
          <w:sz w:val="24"/>
          <w:szCs w:val="24"/>
        </w:rPr>
        <w:t>, </w:t>
      </w:r>
      <w:hyperlink r:id="rId35" w:tooltip="Лекма (приток Чепцы)" w:history="1">
        <w:r w:rsidRPr="00AF7D59">
          <w:rPr>
            <w:rFonts w:ascii="PT Astra Serif" w:hAnsi="PT Astra Serif" w:cs="PT Astra Serif"/>
            <w:sz w:val="24"/>
            <w:szCs w:val="24"/>
          </w:rPr>
          <w:t>Лекма</w:t>
        </w:r>
      </w:hyperlink>
      <w:r w:rsidRPr="00AF7D59">
        <w:rPr>
          <w:rFonts w:ascii="PT Astra Serif" w:hAnsi="PT Astra Serif" w:cs="PT Astra Serif"/>
          <w:sz w:val="24"/>
          <w:szCs w:val="24"/>
        </w:rPr>
        <w:t>, </w:t>
      </w:r>
      <w:hyperlink r:id="rId36" w:tooltip="Саля (река)" w:history="1">
        <w:r w:rsidRPr="00AF7D59">
          <w:rPr>
            <w:rFonts w:ascii="PT Astra Serif" w:hAnsi="PT Astra Serif" w:cs="PT Astra Serif"/>
            <w:sz w:val="24"/>
            <w:szCs w:val="24"/>
          </w:rPr>
          <w:t>Саля</w:t>
        </w:r>
      </w:hyperlink>
      <w:r w:rsidRPr="00AF7D59">
        <w:rPr>
          <w:rFonts w:ascii="PT Astra Serif" w:hAnsi="PT Astra Serif" w:cs="PT Astra Serif"/>
          <w:sz w:val="24"/>
          <w:szCs w:val="24"/>
        </w:rPr>
        <w:t> и другие, а также </w:t>
      </w:r>
      <w:hyperlink r:id="rId37" w:tooltip="Кильмезь (река)" w:history="1">
        <w:r w:rsidRPr="00AF7D59">
          <w:rPr>
            <w:rFonts w:ascii="PT Astra Serif" w:hAnsi="PT Astra Serif" w:cs="PT Astra Serif"/>
            <w:sz w:val="24"/>
            <w:szCs w:val="24"/>
          </w:rPr>
          <w:t>Кильмезь</w:t>
        </w:r>
      </w:hyperlink>
      <w:r w:rsidRPr="00AF7D59">
        <w:rPr>
          <w:rFonts w:ascii="PT Astra Serif" w:hAnsi="PT Astra Serif" w:cs="PT Astra Serif"/>
          <w:sz w:val="24"/>
          <w:szCs w:val="24"/>
        </w:rPr>
        <w:t>, крупный левый приток </w:t>
      </w:r>
      <w:hyperlink r:id="rId38" w:tooltip="Вятка (река)" w:history="1">
        <w:r w:rsidRPr="00AF7D59">
          <w:rPr>
            <w:rFonts w:ascii="PT Astra Serif" w:hAnsi="PT Astra Serif" w:cs="PT Astra Serif"/>
            <w:sz w:val="24"/>
            <w:szCs w:val="24"/>
          </w:rPr>
          <w:t>Вятки</w:t>
        </w:r>
      </w:hyperlink>
      <w:r w:rsidRPr="00AF7D59">
        <w:rPr>
          <w:rFonts w:ascii="PT Astra Serif" w:hAnsi="PT Astra Serif" w:cs="PT Astra Serif"/>
          <w:sz w:val="24"/>
          <w:szCs w:val="24"/>
        </w:rPr>
        <w:t xml:space="preserve">. </w:t>
      </w:r>
    </w:p>
    <w:p w14:paraId="666559D4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На территории района имеется множество памятников археологии, архитектуры, истории и культуры, которые находятся как в населенных пунктах, так и в долинах рек вне сел и деревень. Большую часть памятников составляют памятники археологии: селища, могильники, поселения. Некоторая часть памятников архитектуры,</w:t>
      </w:r>
      <w:r w:rsidRPr="00AF7D59">
        <w:rPr>
          <w:rFonts w:ascii="PT Astra Serif" w:hAnsi="PT Astra Serif" w:cs="PT Astra Serif"/>
          <w:color w:val="000000"/>
          <w:sz w:val="24"/>
          <w:szCs w:val="24"/>
        </w:rPr>
        <w:t xml:space="preserve"> которые были выявлены на территории района, к настоящему моменту утрачена.</w:t>
      </w:r>
    </w:p>
    <w:p w14:paraId="5933FBCC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Для подготовки расчетных показателей сельского населения пунктов в зависимости от проектной численности населения на расчетный срок подразделяется на группы в соответствии с таблицей 5.1.</w:t>
      </w:r>
    </w:p>
    <w:p w14:paraId="3A4F9C86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1B348B3C" w14:textId="77777777" w:rsidR="00C013B4" w:rsidRPr="00AF7D59" w:rsidRDefault="002E6FC5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Таблица 5.1</w:t>
      </w:r>
    </w:p>
    <w:p w14:paraId="49CE4C5F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175"/>
      </w:tblGrid>
      <w:tr w:rsidR="00C013B4" w:rsidRPr="00AF7D59" w14:paraId="43665901" w14:textId="77777777">
        <w:tc>
          <w:tcPr>
            <w:tcW w:w="4535" w:type="dxa"/>
          </w:tcPr>
          <w:p w14:paraId="0A54AE9C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Группы</w:t>
            </w:r>
          </w:p>
        </w:tc>
        <w:tc>
          <w:tcPr>
            <w:tcW w:w="5175" w:type="dxa"/>
          </w:tcPr>
          <w:p w14:paraId="6DBB3ED5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Население (тыс. чел.)</w:t>
            </w:r>
          </w:p>
        </w:tc>
      </w:tr>
      <w:tr w:rsidR="00C013B4" w:rsidRPr="00AF7D59" w14:paraId="7E3882E4" w14:textId="77777777">
        <w:tc>
          <w:tcPr>
            <w:tcW w:w="4535" w:type="dxa"/>
          </w:tcPr>
          <w:p w14:paraId="48715D4B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Крупный</w:t>
            </w:r>
          </w:p>
        </w:tc>
        <w:tc>
          <w:tcPr>
            <w:tcW w:w="5175" w:type="dxa"/>
          </w:tcPr>
          <w:p w14:paraId="4014EF98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Свыше 3</w:t>
            </w:r>
          </w:p>
        </w:tc>
      </w:tr>
      <w:tr w:rsidR="00C013B4" w:rsidRPr="00AF7D59" w14:paraId="5156400A" w14:textId="77777777">
        <w:tc>
          <w:tcPr>
            <w:tcW w:w="4535" w:type="dxa"/>
          </w:tcPr>
          <w:p w14:paraId="59025B83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Большие</w:t>
            </w:r>
          </w:p>
        </w:tc>
        <w:tc>
          <w:tcPr>
            <w:tcW w:w="5175" w:type="dxa"/>
          </w:tcPr>
          <w:p w14:paraId="4A7DA601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Свыше 1 до 3</w:t>
            </w:r>
          </w:p>
        </w:tc>
      </w:tr>
      <w:tr w:rsidR="00C013B4" w:rsidRPr="00AF7D59" w14:paraId="4F7A2C4B" w14:textId="77777777">
        <w:tc>
          <w:tcPr>
            <w:tcW w:w="4535" w:type="dxa"/>
          </w:tcPr>
          <w:p w14:paraId="74E3AB01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Средние</w:t>
            </w:r>
          </w:p>
        </w:tc>
        <w:tc>
          <w:tcPr>
            <w:tcW w:w="5175" w:type="dxa"/>
          </w:tcPr>
          <w:p w14:paraId="5D242A5D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Свыше 0,2 до 1</w:t>
            </w:r>
          </w:p>
        </w:tc>
      </w:tr>
      <w:tr w:rsidR="00C013B4" w:rsidRPr="00AF7D59" w14:paraId="6F7D0E21" w14:textId="77777777">
        <w:tc>
          <w:tcPr>
            <w:tcW w:w="4535" w:type="dxa"/>
          </w:tcPr>
          <w:p w14:paraId="1D02126A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Малые</w:t>
            </w:r>
          </w:p>
        </w:tc>
        <w:tc>
          <w:tcPr>
            <w:tcW w:w="5175" w:type="dxa"/>
          </w:tcPr>
          <w:p w14:paraId="738925D3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До 0,2</w:t>
            </w:r>
          </w:p>
        </w:tc>
      </w:tr>
    </w:tbl>
    <w:p w14:paraId="2B93F935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66CC2B69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При подготовке документов территориального планирования Красногорского района для применения дифференцированных показателей (норм) градостроительного проектирования следует учитывать:</w:t>
      </w:r>
    </w:p>
    <w:p w14:paraId="41AA4E16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- имеющиеся ресурсы (транспортные, рекреационные, трудовые, природные, территориальные), их рациональное использование, состояние окружающей среды;</w:t>
      </w:r>
    </w:p>
    <w:p w14:paraId="3D826DE5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- развитие социально-демографических ситуаций и экономической базы муниципальных образований;</w:t>
      </w:r>
    </w:p>
    <w:p w14:paraId="4FBEC41B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- роль муниципального района, сельских поселений в системе расселения, значение в системе формируемых центров обслуживания (межрайонного, районного и местного уровня), их историко-культурное значение, туристическо-рекреационный потенциал, прогнозируемую численность населения и другие местные особенности;</w:t>
      </w:r>
    </w:p>
    <w:p w14:paraId="64761872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- оценку природно-климатических условий и данных об инженерно-геологических условиях территории.</w:t>
      </w:r>
    </w:p>
    <w:p w14:paraId="2194C90C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63F19FF5" w14:textId="77777777" w:rsidR="00C013B4" w:rsidRPr="00AF7D59" w:rsidRDefault="002E6FC5">
      <w:pPr>
        <w:pStyle w:val="ConsPlusTitle"/>
        <w:jc w:val="center"/>
        <w:outlineLvl w:val="2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6. Социально-демографический состав и плотность населения</w:t>
      </w:r>
    </w:p>
    <w:p w14:paraId="47926899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56C39351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lastRenderedPageBreak/>
        <w:t xml:space="preserve">Демографический потенциал Красногорского района Удмуртской Республики во многом определяет перспективы их развития, экономическое и социальное благополучие и стабильность. Состояние демографической ситуации на территории Красногорского района в целом отражает сложившиеся тенденции демографического развития в других муниципальных образованиях Удмуртской Республики и регионов Российской Федерации </w:t>
      </w:r>
      <w:proofErr w:type="gramStart"/>
      <w:r w:rsidRPr="00AF7D59">
        <w:rPr>
          <w:rFonts w:ascii="PT Astra Serif" w:hAnsi="PT Astra Serif" w:cs="PT Astra Serif"/>
          <w:sz w:val="24"/>
          <w:szCs w:val="24"/>
        </w:rPr>
        <w:t>- это</w:t>
      </w:r>
      <w:proofErr w:type="gramEnd"/>
      <w:r w:rsidRPr="00AF7D59">
        <w:rPr>
          <w:rFonts w:ascii="PT Astra Serif" w:hAnsi="PT Astra Serif" w:cs="PT Astra Serif"/>
          <w:sz w:val="24"/>
          <w:szCs w:val="24"/>
        </w:rPr>
        <w:t>, прежде всего, постепенное сокращение численности, связанное с отрицательным естественным приростом населения (низкая рождаемость и заметно превышающая ее смертность), не перекрываемым миграционными притоком.</w:t>
      </w:r>
    </w:p>
    <w:p w14:paraId="27F76D2F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Демографическая ситуация складывается из естественного и миграционного прироста (убыли) населения. Оценка текущей демографической ситуации и исторически сложившихся тенденций является фундаментом для сценариев развития сельского поселения в том, что касается прогноза численности населения и человеческого потенциала.</w:t>
      </w:r>
    </w:p>
    <w:p w14:paraId="5A2466FC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Динамика численности населения по годам приведена в таблице 6.1.</w:t>
      </w:r>
    </w:p>
    <w:p w14:paraId="418FB341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40DC990F" w14:textId="77777777" w:rsidR="00C013B4" w:rsidRPr="00AF7D59" w:rsidRDefault="002E6FC5">
      <w:pPr>
        <w:pStyle w:val="ConsPlusNormal"/>
        <w:jc w:val="right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Таблица 6.1</w:t>
      </w:r>
    </w:p>
    <w:p w14:paraId="69E8A31F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27"/>
        <w:gridCol w:w="964"/>
        <w:gridCol w:w="1219"/>
        <w:gridCol w:w="930"/>
        <w:gridCol w:w="1065"/>
        <w:gridCol w:w="1320"/>
      </w:tblGrid>
      <w:tr w:rsidR="00C013B4" w:rsidRPr="00AF7D59" w14:paraId="6375C4D5" w14:textId="77777777">
        <w:tc>
          <w:tcPr>
            <w:tcW w:w="4227" w:type="dxa"/>
            <w:vMerge w:val="restart"/>
            <w:shd w:val="clear" w:color="auto" w:fill="auto"/>
          </w:tcPr>
          <w:p w14:paraId="1CC6D1D4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5498" w:type="dxa"/>
            <w:gridSpan w:val="5"/>
            <w:shd w:val="clear" w:color="auto" w:fill="auto"/>
          </w:tcPr>
          <w:p w14:paraId="126C6545" w14:textId="77777777" w:rsidR="00C013B4" w:rsidRPr="00AF7D59" w:rsidRDefault="002E6FC5">
            <w:pPr>
              <w:pStyle w:val="ConsPlusNormal"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b/>
                <w:bCs/>
                <w:sz w:val="24"/>
                <w:szCs w:val="24"/>
              </w:rPr>
              <w:t>Число населения по года (на 1 января), чел.</w:t>
            </w:r>
          </w:p>
        </w:tc>
      </w:tr>
      <w:tr w:rsidR="00C013B4" w:rsidRPr="00AF7D59" w14:paraId="29D6A12A" w14:textId="77777777">
        <w:tc>
          <w:tcPr>
            <w:tcW w:w="4227" w:type="dxa"/>
            <w:vMerge/>
            <w:shd w:val="clear" w:color="auto" w:fill="auto"/>
          </w:tcPr>
          <w:p w14:paraId="380D0522" w14:textId="77777777" w:rsidR="00C013B4" w:rsidRPr="00AF7D59" w:rsidRDefault="00C013B4">
            <w:pPr>
              <w:pStyle w:val="ConsPlusNormal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668AB673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19" w:type="dxa"/>
            <w:shd w:val="clear" w:color="auto" w:fill="auto"/>
          </w:tcPr>
          <w:p w14:paraId="72865675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930" w:type="dxa"/>
            <w:shd w:val="clear" w:color="auto" w:fill="auto"/>
          </w:tcPr>
          <w:p w14:paraId="26AFA9F0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065" w:type="dxa"/>
            <w:shd w:val="clear" w:color="auto" w:fill="auto"/>
          </w:tcPr>
          <w:p w14:paraId="3C17112A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320" w:type="dxa"/>
            <w:shd w:val="clear" w:color="auto" w:fill="auto"/>
          </w:tcPr>
          <w:p w14:paraId="5BFA3BD7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b/>
                <w:bCs/>
                <w:sz w:val="24"/>
                <w:szCs w:val="24"/>
              </w:rPr>
              <w:t>2023</w:t>
            </w:r>
          </w:p>
        </w:tc>
      </w:tr>
      <w:tr w:rsidR="00C013B4" w:rsidRPr="00AF7D59" w14:paraId="49A7E431" w14:textId="77777777">
        <w:tc>
          <w:tcPr>
            <w:tcW w:w="4227" w:type="dxa"/>
            <w:shd w:val="clear" w:color="auto" w:fill="auto"/>
          </w:tcPr>
          <w:p w14:paraId="29F19DFA" w14:textId="77777777" w:rsidR="00C013B4" w:rsidRPr="00AF7D59" w:rsidRDefault="002E6FC5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Численность населения Красногорского района</w:t>
            </w:r>
          </w:p>
        </w:tc>
        <w:tc>
          <w:tcPr>
            <w:tcW w:w="964" w:type="dxa"/>
            <w:shd w:val="clear" w:color="auto" w:fill="auto"/>
          </w:tcPr>
          <w:p w14:paraId="354651DE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8711</w:t>
            </w:r>
          </w:p>
        </w:tc>
        <w:tc>
          <w:tcPr>
            <w:tcW w:w="1219" w:type="dxa"/>
            <w:shd w:val="clear" w:color="auto" w:fill="auto"/>
          </w:tcPr>
          <w:p w14:paraId="65BF8784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8576</w:t>
            </w:r>
          </w:p>
        </w:tc>
        <w:tc>
          <w:tcPr>
            <w:tcW w:w="930" w:type="dxa"/>
            <w:shd w:val="clear" w:color="auto" w:fill="auto"/>
          </w:tcPr>
          <w:p w14:paraId="7FBEB2EF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7841</w:t>
            </w:r>
          </w:p>
        </w:tc>
        <w:tc>
          <w:tcPr>
            <w:tcW w:w="1065" w:type="dxa"/>
            <w:shd w:val="clear" w:color="auto" w:fill="auto"/>
          </w:tcPr>
          <w:p w14:paraId="51E36ED0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  <w:highlight w:val="yellow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8129</w:t>
            </w:r>
          </w:p>
        </w:tc>
        <w:tc>
          <w:tcPr>
            <w:tcW w:w="1320" w:type="dxa"/>
            <w:shd w:val="clear" w:color="auto" w:fill="auto"/>
          </w:tcPr>
          <w:p w14:paraId="1D1F024C" w14:textId="77777777" w:rsidR="00C013B4" w:rsidRPr="00AF7D59" w:rsidRDefault="002E6FC5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  <w:highlight w:val="yellow"/>
              </w:rPr>
            </w:pPr>
            <w:r w:rsidRPr="00AF7D59">
              <w:rPr>
                <w:rFonts w:ascii="PT Astra Serif" w:hAnsi="PT Astra Serif" w:cs="PT Astra Serif"/>
                <w:sz w:val="24"/>
                <w:szCs w:val="24"/>
              </w:rPr>
              <w:t>7584</w:t>
            </w:r>
          </w:p>
        </w:tc>
      </w:tr>
    </w:tbl>
    <w:p w14:paraId="48EA09B0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55826F44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07F364BD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Демографическая ситуация в Красногорском районе на последующие периоды характеризуется продолжающимся процессом убыли населения.</w:t>
      </w:r>
    </w:p>
    <w:p w14:paraId="1F6C62C1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На момент корректировки документов территориального планирования или подготовки документации по планировке территории при фактической численности населения отличной от проектной, расчет осуществляется по фактически достигнутой численности населения.</w:t>
      </w:r>
    </w:p>
    <w:p w14:paraId="1C155384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7931BAC7" w14:textId="77777777" w:rsidR="00C013B4" w:rsidRPr="00AF7D59" w:rsidRDefault="002E6FC5">
      <w:pPr>
        <w:pStyle w:val="ConsPlusTitle"/>
        <w:jc w:val="center"/>
        <w:outlineLvl w:val="2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7. Природно-климатические условия</w:t>
      </w:r>
    </w:p>
    <w:p w14:paraId="03D75D9B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782EB9C7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Разработка нормативов градостроительного проектирования муниципального образования "Муниципальный округ Красногорский район Удмуртской Республики" осуществлялась с учетом природно-климатических характеристик муниципального района по следующим направлениям:</w:t>
      </w:r>
    </w:p>
    <w:p w14:paraId="339A0985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- климатические особенности;</w:t>
      </w:r>
    </w:p>
    <w:p w14:paraId="376C0178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- опасные природные явления.</w:t>
      </w:r>
    </w:p>
    <w:p w14:paraId="45811D61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0550E257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Климатические особенности</w:t>
      </w:r>
    </w:p>
    <w:p w14:paraId="0B07DDC1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В течение года средняя температура воздуха Красногорского района составляет +3 град. C. Самым холодным месяцем является январь с средней температурой -14,1 град. C, а самым теплым - август, когда столбик термометра в среднем поднимается до 16,8 град. C.</w:t>
      </w:r>
    </w:p>
    <w:p w14:paraId="47D2E6CA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Последние весенние заморозки наблюдаются до 19 мая. Первые осенние заморозки наступают 21 сентября.</w:t>
      </w:r>
    </w:p>
    <w:p w14:paraId="00ECBDA3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Продолжительность безморозного периода в среднем 115 дней с колебаниями от 97 до 125 дней.</w:t>
      </w:r>
    </w:p>
    <w:p w14:paraId="1533B90F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lastRenderedPageBreak/>
        <w:t>Устойчивый снежный покров образуется в первой декаде ноября, сохраняется 160 - 165 дней и сходит во второй - третьей декаде апреля.</w:t>
      </w:r>
    </w:p>
    <w:p w14:paraId="7C4F39AE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Глубина промерзания почвы 168 - 170 см.</w:t>
      </w:r>
    </w:p>
    <w:p w14:paraId="0664CDA0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Среднегодовое атмосферное давление составляет 747 мм. рт. ст., а влажность воздуха 78%.</w:t>
      </w:r>
    </w:p>
    <w:p w14:paraId="6431234D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Летние месяцы отличаются большой неустойчивостью увлажнения, отклонения от нормы осадков летом возможны через каждые 3 - 4 года. Кроме того, большое количество осадков может быть вызвано небольшим числом ливней, в то время как весь месяц может оставаться сухим. Ливни, во время которых выпадает 30 мм осадков, бывают почти ежегодно.</w:t>
      </w:r>
    </w:p>
    <w:p w14:paraId="4C24394F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В среднем за год преобладающими направлениями ветра на территории Красногорского района являются западное. Средний показатель скорости ветра в течение года составляет 2.6 м/с. Самым спокойным месяцем является сентябрь, а самым ветренным </w:t>
      </w:r>
      <w:proofErr w:type="gramStart"/>
      <w:r w:rsidRPr="00AF7D59">
        <w:rPr>
          <w:rFonts w:ascii="PT Astra Serif" w:hAnsi="PT Astra Serif" w:cs="PT Astra Serif"/>
          <w:sz w:val="24"/>
          <w:szCs w:val="24"/>
        </w:rPr>
        <w:t>февраль..</w:t>
      </w:r>
      <w:proofErr w:type="gramEnd"/>
    </w:p>
    <w:p w14:paraId="24B75A9A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Самый пасмурный месяц в Красногорском декабрь, пасмурное состояние неба повторяется в 94% случаев. Повторяемость сплошной облачности в течение года составляет 62%, а среднегодовое количество общей облачности 6.7 балла.</w:t>
      </w:r>
    </w:p>
    <w:p w14:paraId="291B83B0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1F97C431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Опасные природные явления.</w:t>
      </w:r>
    </w:p>
    <w:p w14:paraId="1C4E49B2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Опасных природных процессов (оползни, сели, карст, ураганы, смерчи), требующих защитных мер на территории </w:t>
      </w:r>
      <w:proofErr w:type="spellStart"/>
      <w:r w:rsidRPr="00AF7D59">
        <w:rPr>
          <w:rFonts w:ascii="PT Astra Serif" w:hAnsi="PT Astra Serif" w:cs="PT Astra Serif"/>
          <w:sz w:val="24"/>
          <w:szCs w:val="24"/>
        </w:rPr>
        <w:t>Красногорпского</w:t>
      </w:r>
      <w:proofErr w:type="spellEnd"/>
      <w:r w:rsidRPr="00AF7D59">
        <w:rPr>
          <w:rFonts w:ascii="PT Astra Serif" w:hAnsi="PT Astra Serif" w:cs="PT Astra Serif"/>
          <w:sz w:val="24"/>
          <w:szCs w:val="24"/>
        </w:rPr>
        <w:t xml:space="preserve"> района, не наблюдается. Уровень природного риска на территории градостроительного освоения невысок.</w:t>
      </w:r>
    </w:p>
    <w:p w14:paraId="026DE67E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Наиболее опасными природными явлениями, при которых на отдельных территориях и в целом по Красногорскому району может возникать чрезвычайная обстановка, являются:</w:t>
      </w:r>
    </w:p>
    <w:p w14:paraId="4D30256C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- природные пожары (лесные и торфяные);</w:t>
      </w:r>
    </w:p>
    <w:p w14:paraId="4B187C2C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- метеорологические явления (шквал, сильный ветер, продолжительный дождь (ливень), град, туман, сильный снегопад, заморозки, почвенная и атмосферная засуха).</w:t>
      </w:r>
    </w:p>
    <w:p w14:paraId="05608FF6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Опасные природные процессы на территории Красногорского района не представляют непосредственной опасности для жизни людей, но являются внешним воздействующим фактором и могут нанести колоссальный ущерб зданиям, сооружениям, установленному в них оборудованию, транспорту и коммуникациям.</w:t>
      </w:r>
    </w:p>
    <w:p w14:paraId="647F7A07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09793816" w14:textId="77777777" w:rsidR="00C013B4" w:rsidRPr="00AF7D59" w:rsidRDefault="002E6FC5">
      <w:pPr>
        <w:pStyle w:val="ConsPlusTitle"/>
        <w:jc w:val="center"/>
        <w:outlineLvl w:val="2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8. Анализ планов социально-экономического развития</w:t>
      </w:r>
    </w:p>
    <w:p w14:paraId="0A6959CB" w14:textId="77777777" w:rsidR="00C013B4" w:rsidRPr="00AF7D59" w:rsidRDefault="002E6FC5">
      <w:pPr>
        <w:pStyle w:val="ConsPlusTitle"/>
        <w:jc w:val="center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Красногорского района Удмуртской Республики в целях выявления</w:t>
      </w:r>
    </w:p>
    <w:p w14:paraId="06A68443" w14:textId="77777777" w:rsidR="00C013B4" w:rsidRPr="00AF7D59" w:rsidRDefault="002E6FC5">
      <w:pPr>
        <w:pStyle w:val="ConsPlusTitle"/>
        <w:jc w:val="center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показателей, которые необходимо учитывать в нормативах</w:t>
      </w:r>
    </w:p>
    <w:p w14:paraId="3D2CA4B4" w14:textId="77777777" w:rsidR="00C013B4" w:rsidRPr="00AF7D59" w:rsidRDefault="002E6FC5">
      <w:pPr>
        <w:pStyle w:val="ConsPlusTitle"/>
        <w:jc w:val="center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градостроительного проектирования</w:t>
      </w:r>
    </w:p>
    <w:p w14:paraId="74B7673A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3B00141B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Нормативы градостроительного проектирования муниципального образования.</w:t>
      </w:r>
    </w:p>
    <w:p w14:paraId="0D10295A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"Муниципальный округ Красногорский район Удмуртской Республики" разработаны для подготовки, согласования, утверждения и реализации документов территориального планирования и документации по планировке территории с учетом перспективы развития муниципальных образований в составе района.</w:t>
      </w:r>
    </w:p>
    <w:p w14:paraId="400F177F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Нормативы направлены на устойчивое развитие территорий путем обеспечения при осуществлении градостроительной деятельности безопасности и благоприятных условий жизнедеятельности населения. Ограничения негативного воздействия хозяйственной и иной деятельности на окружающую среду и обеспечения охраны и рационального использования природных ресурсов в интересах настоящего и будущего поколений, а также инженерной защиты населения и территорий от опасных природных и техногенных процессов.</w:t>
      </w:r>
    </w:p>
    <w:p w14:paraId="1E0526A6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lastRenderedPageBreak/>
        <w:t>Нормативы обеспечивают социальную стабильность, соблюдение социальных прав и гарантий населения Красногорского района Удмуртской Республики за счет использования социальных мер защиты населения.</w:t>
      </w:r>
    </w:p>
    <w:p w14:paraId="46A87B08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Нормативы структурированы в соответствии с полномочиями органов местного самоуправления муниципального района в соответствии с требованиями Федерального </w:t>
      </w:r>
      <w:hyperlink r:id="rId39">
        <w:r w:rsidRPr="00AF7D59">
          <w:rPr>
            <w:rFonts w:ascii="PT Astra Serif" w:hAnsi="PT Astra Serif" w:cs="PT Astra Serif"/>
            <w:color w:val="0000FF"/>
            <w:sz w:val="24"/>
            <w:szCs w:val="24"/>
          </w:rPr>
          <w:t>закона</w:t>
        </w:r>
      </w:hyperlink>
      <w:r w:rsidRPr="00AF7D59">
        <w:rPr>
          <w:rFonts w:ascii="PT Astra Serif" w:hAnsi="PT Astra Serif" w:cs="PT Astra Serif"/>
          <w:sz w:val="24"/>
          <w:szCs w:val="24"/>
        </w:rPr>
        <w:t xml:space="preserve"> N 131-ФЗ от 6 октября 2003 года "Об общих принципах организации местного самоуправления в Российской Федерации" и </w:t>
      </w:r>
      <w:hyperlink r:id="rId40">
        <w:r w:rsidRPr="00AF7D59">
          <w:rPr>
            <w:rFonts w:ascii="PT Astra Serif" w:hAnsi="PT Astra Serif" w:cs="PT Astra Serif"/>
            <w:color w:val="0000FF"/>
            <w:sz w:val="24"/>
            <w:szCs w:val="24"/>
          </w:rPr>
          <w:t>Устава</w:t>
        </w:r>
      </w:hyperlink>
      <w:r w:rsidRPr="00AF7D59">
        <w:rPr>
          <w:rFonts w:ascii="PT Astra Serif" w:hAnsi="PT Astra Serif" w:cs="PT Astra Serif"/>
          <w:sz w:val="24"/>
          <w:szCs w:val="24"/>
        </w:rPr>
        <w:t xml:space="preserve"> муниципального образования "Муниципальный округ Красногорский район Удмуртской Республики".</w:t>
      </w:r>
    </w:p>
    <w:p w14:paraId="4884BBBF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Приоритетной задачей района является обеспечение устойчивого и надежного функционирования инженерных систем и связи территории района, в том числе входящих в его состав поселений.</w:t>
      </w:r>
    </w:p>
    <w:p w14:paraId="2723600F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В соответствии со стратегическими направлениями в нормативах разработаны разделы "Объекты инженерной инфраструктуры", где приведены все необходимые расчетные показатели для обеспечения подготовки документов территориального планирования (схемы территориального планирования) муниципального района и документации по планировке территории.</w:t>
      </w:r>
    </w:p>
    <w:p w14:paraId="1328F8D7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Муниципальные автомобильные дороги общего пользования района без надлежащего и своевременного ремонта не выдерживают современных транспортных нагрузок. Кроме того, в районе еще остаются населенные пункты, не имеющие подъездов с твердым покрытием, бесхозяйственные дороги, по которым необходимо провести реконструкцию. Остается низким уровень обеспеченности автомобильных дорог автопавильонами и съездами.</w:t>
      </w:r>
    </w:p>
    <w:p w14:paraId="25DF1E55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Сегодняшняя ситуация в дорожной отрасли характеризуется ростом спроса на автомобильные перевозки, увеличением количества транспортных средств и одновременно с этим отставанием в развитии дорожной сети района, медленным ростом протяженности и пропускной способности автомобильных дорог.</w:t>
      </w:r>
    </w:p>
    <w:p w14:paraId="7B9B6EA1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Таким образом, одним из важнейших условий устойчивого развития экономики Красногорского района является сохранение и развитие сети автомобильных дорог местного значения общего пользования, объектов дорожного сервиса и транспортного обслуживания населения района, способствующих эффективности использования производственных и сельскохозяйственных мощностей и ресурсов, оптимизации структуры дорожно-транспортного комплекса. В связи с важностью данных задач в местных нормативах разработан раздел "Автомобильные дороги местного значения".</w:t>
      </w:r>
    </w:p>
    <w:p w14:paraId="14F008D5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Социальная сфера Красногорского района представлена:</w:t>
      </w:r>
    </w:p>
    <w:p w14:paraId="578F8E0C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а) системой образования, которая включает в себя 25 учреждений образования, в том числе:</w:t>
      </w:r>
    </w:p>
    <w:p w14:paraId="394944D1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- общеобразовательные учреждения – 11, включающие 12 структурных подразделений детских садов;</w:t>
      </w:r>
    </w:p>
    <w:p w14:paraId="4AE1D354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- учреждения дополнительного образования - 2;</w:t>
      </w:r>
    </w:p>
    <w:p w14:paraId="54750958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б) системой учреждений здравоохранения:</w:t>
      </w:r>
    </w:p>
    <w:p w14:paraId="28F447EB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- 1 районная больница с. Красногорское;</w:t>
      </w:r>
    </w:p>
    <w:p w14:paraId="3E77B8C5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- 12 ФАПов</w:t>
      </w:r>
    </w:p>
    <w:p w14:paraId="11F83277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в) культура и спорт:</w:t>
      </w:r>
    </w:p>
    <w:p w14:paraId="79B4AAFC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- стадион «ФОК» в с. Красногорское;</w:t>
      </w:r>
    </w:p>
    <w:p w14:paraId="231088C0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lastRenderedPageBreak/>
        <w:t>- лыжная база в с. Красногорское.</w:t>
      </w:r>
    </w:p>
    <w:p w14:paraId="4C5AE353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Особое внимание в нормативах уделяется разработке расчетных показателей для проектирования объектов социальной инфраструктуры в составе разделов.</w:t>
      </w:r>
    </w:p>
    <w:p w14:paraId="55CFBC1F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"Объекты образования", "Объекты здравоохранения", "Объекты физической культуры и массового спорта", "Объекты культуры и искусства". Кроме перечисленных разделов в нормативах разработан раздел "Объекты общественного питания, торговли и бытового обслуживания". В данном разделе приведены все необходимые расчетные показатели для градостроительного проектирования объектов обслуживания.</w:t>
      </w:r>
    </w:p>
    <w:p w14:paraId="1D70CA5B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К полномочиям органов местного самоуправления района относится участие в организации деятельности по сбору, транспортированию, обработке, утилизации, обезвреживанию, захоронению твердых коммунальных отходов на территории района, что способствует сохранению стабильной экологической ситуации в районе.</w:t>
      </w:r>
    </w:p>
    <w:p w14:paraId="0B0FB76A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Разработанные нормативы градостроительного проектирования муниципального образования "Муниципальный </w:t>
      </w:r>
      <w:proofErr w:type="gramStart"/>
      <w:r w:rsidRPr="00AF7D59">
        <w:rPr>
          <w:rFonts w:ascii="PT Astra Serif" w:hAnsi="PT Astra Serif" w:cs="PT Astra Serif"/>
          <w:sz w:val="24"/>
          <w:szCs w:val="24"/>
        </w:rPr>
        <w:t>округ  Красногорский</w:t>
      </w:r>
      <w:proofErr w:type="gramEnd"/>
      <w:r w:rsidRPr="00AF7D59">
        <w:rPr>
          <w:rFonts w:ascii="PT Astra Serif" w:hAnsi="PT Astra Serif" w:cs="PT Astra Serif"/>
          <w:sz w:val="24"/>
          <w:szCs w:val="24"/>
        </w:rPr>
        <w:t xml:space="preserve"> район Удмуртской Республики" будут встроены в систему нормативно-технических документов в сфере регулирования градостроительной деятельности и окажут влияние на реализацию документов муниципального планирования на территории муниципального образования "Муниципальный округ Красногорский район Удмуртской Республики".</w:t>
      </w:r>
    </w:p>
    <w:p w14:paraId="74FC1361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05806116" w14:textId="77777777" w:rsidR="00C013B4" w:rsidRPr="00AF7D59" w:rsidRDefault="002E6FC5">
      <w:pPr>
        <w:pStyle w:val="ConsPlusTitle"/>
        <w:jc w:val="center"/>
        <w:outlineLvl w:val="1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Раздел III. ПРАВИЛА И ОБЛАСТЬ ПРИМЕНЕНИЯ РАСЧЕТНЫХ</w:t>
      </w:r>
    </w:p>
    <w:p w14:paraId="29192B63" w14:textId="77777777" w:rsidR="00C013B4" w:rsidRPr="00AF7D59" w:rsidRDefault="002E6FC5">
      <w:pPr>
        <w:pStyle w:val="ConsPlusTitle"/>
        <w:jc w:val="center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ПОКАЗАТЕЛЕЙ, СОДЕРЖАЩИХСЯ В ОСНОВНОЙ ЧАСТИ НОРМАТИВОВ</w:t>
      </w:r>
    </w:p>
    <w:p w14:paraId="45A236C0" w14:textId="77777777" w:rsidR="00C013B4" w:rsidRPr="00AF7D59" w:rsidRDefault="002E6FC5">
      <w:pPr>
        <w:pStyle w:val="ConsPlusTitle"/>
        <w:jc w:val="center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ГРАДОСТРОИТЕЛЬНОГО ПРОЕКТИРОВАНИЯ</w:t>
      </w:r>
    </w:p>
    <w:p w14:paraId="7B1B5005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61D9BBB6" w14:textId="77777777" w:rsidR="00C013B4" w:rsidRPr="00AF7D59" w:rsidRDefault="002E6FC5">
      <w:pPr>
        <w:pStyle w:val="ConsPlusTitle"/>
        <w:jc w:val="center"/>
        <w:outlineLvl w:val="2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9. Область применения расчетных показателей</w:t>
      </w:r>
    </w:p>
    <w:p w14:paraId="79032488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089D796F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 xml:space="preserve">В соответствии с Градостроительным </w:t>
      </w:r>
      <w:hyperlink r:id="rId41">
        <w:r w:rsidRPr="00AF7D59">
          <w:rPr>
            <w:rFonts w:ascii="PT Astra Serif" w:hAnsi="PT Astra Serif" w:cs="PT Astra Serif"/>
            <w:color w:val="0000FF"/>
            <w:sz w:val="24"/>
            <w:szCs w:val="24"/>
          </w:rPr>
          <w:t>кодексом</w:t>
        </w:r>
      </w:hyperlink>
      <w:r w:rsidRPr="00AF7D59">
        <w:rPr>
          <w:rFonts w:ascii="PT Astra Serif" w:hAnsi="PT Astra Serif" w:cs="PT Astra Serif"/>
          <w:sz w:val="24"/>
          <w:szCs w:val="24"/>
        </w:rPr>
        <w:t xml:space="preserve"> Российской Федерации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местного значения муниципального района и расчетных показателей максимально допустимого уровня территориальной доступности таких объектов для населения Красногорского района Удмуртской Республики в целях обеспечения благоприятных условий жизнедеятельности населения.</w:t>
      </w:r>
    </w:p>
    <w:p w14:paraId="1C484CE7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Нормативы направлены на обеспечение градостроительными средствами (совокупностью расчетных показателей) безопасности и устойчивости развития Красногорского района Удмуртской Республики и входящих в состав сельских поселений, охрану здоровья населения, рациональное использование природных ресурсов и охрану окружающей среды, сохранение памятников истории и культуры, защиту территорий населенных пунктов от неблагоприятных воздействий природного и техногенного характера, а также на создание условий для реализации определенных законодательством Российской Федерации социальных гарантий граждан в части обеспечения объектами социального и культурно-бытового обслуживания, инженерной и транспортной инфраструктуры и благоустройства.</w:t>
      </w:r>
    </w:p>
    <w:p w14:paraId="1CBAE887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Областью применения нормативов градостроительного проектирования являются:</w:t>
      </w:r>
    </w:p>
    <w:p w14:paraId="497735C5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1) при подготовке программ комплексного развития социальной инфраструктуры;</w:t>
      </w:r>
    </w:p>
    <w:p w14:paraId="7D569F47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2) при подготовке программ комплексного развития коммунальной инфраструктуры;</w:t>
      </w:r>
    </w:p>
    <w:p w14:paraId="7F296964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3) при подготовке программ комплексного развития транспортной инфраструктуры;</w:t>
      </w:r>
    </w:p>
    <w:p w14:paraId="72BD123E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4) при подготовке проектов внесения изменений в схему территориального планирования Красногорского района;</w:t>
      </w:r>
    </w:p>
    <w:p w14:paraId="5A71CA89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lastRenderedPageBreak/>
        <w:t>5) при подготовке проектов генеральных планов, в том числе при подготовке проектов внесения изменений в генеральные планы поселений Красногорского района;</w:t>
      </w:r>
    </w:p>
    <w:p w14:paraId="5A73C6E7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6) при подготовке правил землепользования и застройки, в том числе при подготовке проектов внесения изменений в правила землепользования и застройки поселений Красногорского района;</w:t>
      </w:r>
    </w:p>
    <w:p w14:paraId="26A283A8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7) при подготовке документации по планировке территории;</w:t>
      </w:r>
    </w:p>
    <w:p w14:paraId="43A1818C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8) при подготовке проектной документации на объекты капитального строительства, являющихся объектами местного значения Красногорского района;</w:t>
      </w:r>
    </w:p>
    <w:p w14:paraId="25F3B692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9) в других случаях, в которых требуется учет и соблюдение расчетных показателей минимально допустимого уровня обеспеченности объектами местного значения Красногорского района и расчетных показателей максимально допустимого уровня территориальной доступности таких объектов для населения Красногорского района.</w:t>
      </w:r>
    </w:p>
    <w:p w14:paraId="11AFC94C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Нормативы входят в систему нормативных документов, регламентирующих градостроительную деятельность на территории муниципального образования "Муниципальный округ Красногорский район Удмуртской Республики".</w:t>
      </w:r>
    </w:p>
    <w:p w14:paraId="1FCA1C50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Настоящие нормативы устанавливают требования, обязательные для всех субъектов градостроительных отношений, осуществляющих свою деятельность на территории муниципального образования "Муниципальный округ Красногорский район Удмуртской Республики", независимо от их организационно-правовой формы.</w:t>
      </w:r>
    </w:p>
    <w:p w14:paraId="27ACE947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Нормативы конкретизируют и развивают основные положения действующих федеральных норм. По вопросам, не рассматриваемым в нормативах, следует руководствоваться законами и нормативно-техническими документами, действующими на территории Российской Федерации. При отмене и/или изменении действующих нормативных документов, в том числе тех, на которые дается ссылка в настоящих нормах, следует руководствоваться нормами, вводимыми взамен отмененных.</w:t>
      </w:r>
    </w:p>
    <w:p w14:paraId="2F7E15D2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1317E8A4" w14:textId="77777777" w:rsidR="00C013B4" w:rsidRPr="00AF7D59" w:rsidRDefault="002E6FC5">
      <w:pPr>
        <w:pStyle w:val="ConsPlusTitle"/>
        <w:jc w:val="center"/>
        <w:outlineLvl w:val="2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10. Правила применения расчетных показателей</w:t>
      </w:r>
    </w:p>
    <w:p w14:paraId="17449CC5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p w14:paraId="3E3EE617" w14:textId="77777777" w:rsidR="00C013B4" w:rsidRPr="00AF7D59" w:rsidRDefault="002E6FC5">
      <w:pPr>
        <w:pStyle w:val="ConsPlusNormal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Установление совокупности расчетных показателей минимально допустимого уровня обеспеченности объектами местного значения муниципального района, установление максимально допустимого уровня территориальной доступности таких объектов для населения Красногорского района необходимы для определения местоположения планируемых к размещению объектов местного значения в схеме территориального планирования Красногорского района Удмуртской Республики в целях обеспечения благоприятных условий жизнедеятельности населения.</w:t>
      </w:r>
    </w:p>
    <w:p w14:paraId="0E0DE6DC" w14:textId="77777777" w:rsidR="00C013B4" w:rsidRPr="00AF7D59" w:rsidRDefault="002E6FC5">
      <w:pPr>
        <w:pStyle w:val="ConsPlusNormal"/>
        <w:spacing w:before="220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AF7D59">
        <w:rPr>
          <w:rFonts w:ascii="PT Astra Serif" w:hAnsi="PT Astra Serif" w:cs="PT Astra Serif"/>
          <w:sz w:val="24"/>
          <w:szCs w:val="24"/>
        </w:rPr>
        <w:t>Определение местоположения планируемого к размещению объекта местного значения следует осуществлять исходя из минимально допустимого уровня обеспеченности объектами, установленного настоящими нормативами, и максимально допустимого уровня территориальной доступности того или иного объекта, установленного настоящими нормативами в целях градостроительного проектирования.</w:t>
      </w:r>
    </w:p>
    <w:p w14:paraId="465E4BFB" w14:textId="77777777" w:rsidR="00C013B4" w:rsidRPr="00AF7D59" w:rsidRDefault="00C013B4">
      <w:pPr>
        <w:pStyle w:val="ConsPlusNormal"/>
        <w:jc w:val="both"/>
        <w:rPr>
          <w:rFonts w:ascii="PT Astra Serif" w:hAnsi="PT Astra Serif" w:cs="PT Astra Serif"/>
          <w:sz w:val="24"/>
          <w:szCs w:val="24"/>
        </w:rPr>
      </w:pPr>
    </w:p>
    <w:sectPr w:rsidR="00C013B4" w:rsidRPr="00AF7D59">
      <w:pgSz w:w="11906" w:h="16838"/>
      <w:pgMar w:top="851" w:right="851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FFFFFF82"/>
    <w:lvl w:ilvl="0">
      <w:start w:val="1"/>
      <w:numFmt w:val="bullet"/>
      <w:pStyle w:val="3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25B66B18"/>
    <w:multiLevelType w:val="multilevel"/>
    <w:tmpl w:val="25B66B18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900" w:hanging="360"/>
      </w:pPr>
      <w:rPr>
        <w:rFonts w:ascii="Times New Roman" w:eastAsia="Courier New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num w:numId="1" w16cid:durableId="503974533">
    <w:abstractNumId w:val="0"/>
  </w:num>
  <w:num w:numId="2" w16cid:durableId="1168211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CFA"/>
    <w:rsid w:val="000169D5"/>
    <w:rsid w:val="00017FDF"/>
    <w:rsid w:val="00035892"/>
    <w:rsid w:val="00035F9A"/>
    <w:rsid w:val="0004166E"/>
    <w:rsid w:val="00053DF6"/>
    <w:rsid w:val="000608A4"/>
    <w:rsid w:val="00077438"/>
    <w:rsid w:val="00082B81"/>
    <w:rsid w:val="0008376B"/>
    <w:rsid w:val="00090046"/>
    <w:rsid w:val="000C5D9A"/>
    <w:rsid w:val="000C69F0"/>
    <w:rsid w:val="000E0436"/>
    <w:rsid w:val="000E232D"/>
    <w:rsid w:val="000F44D4"/>
    <w:rsid w:val="00111218"/>
    <w:rsid w:val="001237C5"/>
    <w:rsid w:val="0012555E"/>
    <w:rsid w:val="00126AC3"/>
    <w:rsid w:val="00126BD2"/>
    <w:rsid w:val="001336DB"/>
    <w:rsid w:val="001449A4"/>
    <w:rsid w:val="00151231"/>
    <w:rsid w:val="0015581C"/>
    <w:rsid w:val="00156C38"/>
    <w:rsid w:val="00175AB6"/>
    <w:rsid w:val="001761BF"/>
    <w:rsid w:val="001776B2"/>
    <w:rsid w:val="0018626A"/>
    <w:rsid w:val="001A0902"/>
    <w:rsid w:val="001A0F37"/>
    <w:rsid w:val="001A1591"/>
    <w:rsid w:val="001A791A"/>
    <w:rsid w:val="001B0E14"/>
    <w:rsid w:val="001C0A3C"/>
    <w:rsid w:val="001C41D0"/>
    <w:rsid w:val="001D0DFC"/>
    <w:rsid w:val="001D7568"/>
    <w:rsid w:val="001E5F6C"/>
    <w:rsid w:val="001E789D"/>
    <w:rsid w:val="001F1750"/>
    <w:rsid w:val="002022DF"/>
    <w:rsid w:val="00221C39"/>
    <w:rsid w:val="00234C4F"/>
    <w:rsid w:val="00237033"/>
    <w:rsid w:val="00246DD3"/>
    <w:rsid w:val="002534D4"/>
    <w:rsid w:val="002737E8"/>
    <w:rsid w:val="002945A3"/>
    <w:rsid w:val="002C1D92"/>
    <w:rsid w:val="002C4006"/>
    <w:rsid w:val="002C786C"/>
    <w:rsid w:val="002E6FC5"/>
    <w:rsid w:val="00312CFA"/>
    <w:rsid w:val="0031761F"/>
    <w:rsid w:val="00320167"/>
    <w:rsid w:val="00327F0A"/>
    <w:rsid w:val="00341E4F"/>
    <w:rsid w:val="003561BA"/>
    <w:rsid w:val="00356806"/>
    <w:rsid w:val="00363D9A"/>
    <w:rsid w:val="00387937"/>
    <w:rsid w:val="003C0BDF"/>
    <w:rsid w:val="003D1054"/>
    <w:rsid w:val="003D707C"/>
    <w:rsid w:val="003D7870"/>
    <w:rsid w:val="003E67E9"/>
    <w:rsid w:val="00413D5F"/>
    <w:rsid w:val="00433EA9"/>
    <w:rsid w:val="00441E2E"/>
    <w:rsid w:val="00471963"/>
    <w:rsid w:val="00473295"/>
    <w:rsid w:val="00476D5B"/>
    <w:rsid w:val="004D3BC1"/>
    <w:rsid w:val="004E3677"/>
    <w:rsid w:val="004F2636"/>
    <w:rsid w:val="00505026"/>
    <w:rsid w:val="0050741A"/>
    <w:rsid w:val="00515970"/>
    <w:rsid w:val="0052006C"/>
    <w:rsid w:val="005225E0"/>
    <w:rsid w:val="00526E11"/>
    <w:rsid w:val="00534F18"/>
    <w:rsid w:val="00546ED9"/>
    <w:rsid w:val="00550BC5"/>
    <w:rsid w:val="005621EA"/>
    <w:rsid w:val="00573BE9"/>
    <w:rsid w:val="00575D7B"/>
    <w:rsid w:val="00577BDF"/>
    <w:rsid w:val="00596C33"/>
    <w:rsid w:val="005B7D0E"/>
    <w:rsid w:val="005E3719"/>
    <w:rsid w:val="005F335E"/>
    <w:rsid w:val="005F566E"/>
    <w:rsid w:val="005F669C"/>
    <w:rsid w:val="00652516"/>
    <w:rsid w:val="00654F2A"/>
    <w:rsid w:val="00661318"/>
    <w:rsid w:val="006911F2"/>
    <w:rsid w:val="006A3F9E"/>
    <w:rsid w:val="006B1446"/>
    <w:rsid w:val="006E19F4"/>
    <w:rsid w:val="006E37A6"/>
    <w:rsid w:val="006F7F7C"/>
    <w:rsid w:val="00700864"/>
    <w:rsid w:val="00721E83"/>
    <w:rsid w:val="007244BB"/>
    <w:rsid w:val="007270D7"/>
    <w:rsid w:val="007609E0"/>
    <w:rsid w:val="00795DF6"/>
    <w:rsid w:val="007A778B"/>
    <w:rsid w:val="007C6692"/>
    <w:rsid w:val="007D236D"/>
    <w:rsid w:val="007D2821"/>
    <w:rsid w:val="007D37D5"/>
    <w:rsid w:val="007F7901"/>
    <w:rsid w:val="00803817"/>
    <w:rsid w:val="0082769B"/>
    <w:rsid w:val="0083036A"/>
    <w:rsid w:val="0083260F"/>
    <w:rsid w:val="008620DE"/>
    <w:rsid w:val="0086355B"/>
    <w:rsid w:val="00877BD9"/>
    <w:rsid w:val="00897D6F"/>
    <w:rsid w:val="008A5455"/>
    <w:rsid w:val="008C4519"/>
    <w:rsid w:val="008D0959"/>
    <w:rsid w:val="008F46E7"/>
    <w:rsid w:val="008F67A7"/>
    <w:rsid w:val="00921886"/>
    <w:rsid w:val="009226EB"/>
    <w:rsid w:val="009277AE"/>
    <w:rsid w:val="00935FDB"/>
    <w:rsid w:val="0097414C"/>
    <w:rsid w:val="00977A22"/>
    <w:rsid w:val="00980888"/>
    <w:rsid w:val="00997F45"/>
    <w:rsid w:val="009A5B77"/>
    <w:rsid w:val="009C5143"/>
    <w:rsid w:val="009D13B1"/>
    <w:rsid w:val="009F14DE"/>
    <w:rsid w:val="00A27718"/>
    <w:rsid w:val="00A63693"/>
    <w:rsid w:val="00A67A6C"/>
    <w:rsid w:val="00A72C0D"/>
    <w:rsid w:val="00A843CC"/>
    <w:rsid w:val="00A933A9"/>
    <w:rsid w:val="00A95B3F"/>
    <w:rsid w:val="00AA74BD"/>
    <w:rsid w:val="00AA78B2"/>
    <w:rsid w:val="00AB3971"/>
    <w:rsid w:val="00AC2C95"/>
    <w:rsid w:val="00AC684A"/>
    <w:rsid w:val="00AD14EE"/>
    <w:rsid w:val="00AD5F1F"/>
    <w:rsid w:val="00AF7D59"/>
    <w:rsid w:val="00B05FA0"/>
    <w:rsid w:val="00B3370F"/>
    <w:rsid w:val="00B3478B"/>
    <w:rsid w:val="00B77059"/>
    <w:rsid w:val="00BB350C"/>
    <w:rsid w:val="00BD6AA8"/>
    <w:rsid w:val="00BE1D6D"/>
    <w:rsid w:val="00BF58AE"/>
    <w:rsid w:val="00BF6DE0"/>
    <w:rsid w:val="00C013B4"/>
    <w:rsid w:val="00C079DE"/>
    <w:rsid w:val="00C12580"/>
    <w:rsid w:val="00C22033"/>
    <w:rsid w:val="00C242FD"/>
    <w:rsid w:val="00C37CA7"/>
    <w:rsid w:val="00C4440D"/>
    <w:rsid w:val="00C455F5"/>
    <w:rsid w:val="00C47F67"/>
    <w:rsid w:val="00C743D1"/>
    <w:rsid w:val="00C86026"/>
    <w:rsid w:val="00C905D2"/>
    <w:rsid w:val="00C92920"/>
    <w:rsid w:val="00C92953"/>
    <w:rsid w:val="00CA2242"/>
    <w:rsid w:val="00CA56BB"/>
    <w:rsid w:val="00CB3378"/>
    <w:rsid w:val="00CC113B"/>
    <w:rsid w:val="00CC3EA4"/>
    <w:rsid w:val="00CC444F"/>
    <w:rsid w:val="00CC75C6"/>
    <w:rsid w:val="00CD74CA"/>
    <w:rsid w:val="00D216F7"/>
    <w:rsid w:val="00D4245B"/>
    <w:rsid w:val="00D553E6"/>
    <w:rsid w:val="00D56E66"/>
    <w:rsid w:val="00D64945"/>
    <w:rsid w:val="00D663A0"/>
    <w:rsid w:val="00D715EF"/>
    <w:rsid w:val="00DA5E75"/>
    <w:rsid w:val="00DB6D90"/>
    <w:rsid w:val="00DB7AF4"/>
    <w:rsid w:val="00DC7F9B"/>
    <w:rsid w:val="00DD0512"/>
    <w:rsid w:val="00DD4F8C"/>
    <w:rsid w:val="00DF6448"/>
    <w:rsid w:val="00E33BE7"/>
    <w:rsid w:val="00E40032"/>
    <w:rsid w:val="00E63B9E"/>
    <w:rsid w:val="00E67455"/>
    <w:rsid w:val="00E712ED"/>
    <w:rsid w:val="00E73A3E"/>
    <w:rsid w:val="00E84C5F"/>
    <w:rsid w:val="00E92194"/>
    <w:rsid w:val="00E965CE"/>
    <w:rsid w:val="00EA0EB2"/>
    <w:rsid w:val="00EB2C3F"/>
    <w:rsid w:val="00EC3749"/>
    <w:rsid w:val="00ED21EC"/>
    <w:rsid w:val="00ED4C5B"/>
    <w:rsid w:val="00F050CA"/>
    <w:rsid w:val="00F12302"/>
    <w:rsid w:val="00F30A81"/>
    <w:rsid w:val="00F57026"/>
    <w:rsid w:val="00F5726D"/>
    <w:rsid w:val="00F6075D"/>
    <w:rsid w:val="00F6132A"/>
    <w:rsid w:val="00F63C25"/>
    <w:rsid w:val="00F82EFA"/>
    <w:rsid w:val="00F830FC"/>
    <w:rsid w:val="00F8722B"/>
    <w:rsid w:val="00F9298B"/>
    <w:rsid w:val="00FB33BC"/>
    <w:rsid w:val="00FD0ACF"/>
    <w:rsid w:val="00FF2B9A"/>
    <w:rsid w:val="00FF2E1D"/>
    <w:rsid w:val="07C54548"/>
    <w:rsid w:val="0E881401"/>
    <w:rsid w:val="1D0A485E"/>
    <w:rsid w:val="1F7A2BD7"/>
    <w:rsid w:val="21104037"/>
    <w:rsid w:val="239A6B63"/>
    <w:rsid w:val="282155D3"/>
    <w:rsid w:val="3265579A"/>
    <w:rsid w:val="348A6C9A"/>
    <w:rsid w:val="4B314A8A"/>
    <w:rsid w:val="4F9C0102"/>
    <w:rsid w:val="6017575D"/>
    <w:rsid w:val="618F737B"/>
    <w:rsid w:val="7DFB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50174"/>
  <w15:docId w15:val="{5C66062F-F8A6-437F-B1AE-BE5D0B67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iPriority="0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11"/>
    <w:unhideWhenUsed/>
    <w:qFormat/>
    <w:pPr>
      <w:widowControl/>
    </w:pPr>
    <w:rPr>
      <w:rFonts w:eastAsiaTheme="minorHAnsi"/>
      <w:color w:val="auto"/>
      <w:sz w:val="22"/>
      <w:szCs w:val="22"/>
      <w:lang w:eastAsia="en-US"/>
    </w:rPr>
  </w:style>
  <w:style w:type="paragraph" w:styleId="a7">
    <w:name w:val="Body Text"/>
    <w:basedOn w:val="a"/>
    <w:link w:val="a8"/>
    <w:semiHidden/>
    <w:unhideWhenUsed/>
    <w:qFormat/>
    <w:pPr>
      <w:widowControl/>
      <w:spacing w:after="1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9">
    <w:name w:val="Body Text Indent"/>
    <w:basedOn w:val="a"/>
    <w:link w:val="aa"/>
    <w:semiHidden/>
    <w:unhideWhenUsed/>
    <w:qFormat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3">
    <w:name w:val="List Bullet 3"/>
    <w:basedOn w:val="a"/>
    <w:semiHidden/>
    <w:unhideWhenUsed/>
    <w:qFormat/>
    <w:pPr>
      <w:widowControl/>
      <w:numPr>
        <w:numId w:val="1"/>
      </w:numPr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b">
    <w:name w:val="Title"/>
    <w:basedOn w:val="a"/>
    <w:link w:val="ac"/>
    <w:qFormat/>
    <w:pPr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color w:val="auto"/>
      <w:kern w:val="28"/>
      <w:sz w:val="32"/>
      <w:szCs w:val="20"/>
    </w:rPr>
  </w:style>
  <w:style w:type="paragraph" w:styleId="ad">
    <w:name w:val="List"/>
    <w:basedOn w:val="a"/>
    <w:semiHidden/>
    <w:unhideWhenUsed/>
    <w:qFormat/>
    <w:pPr>
      <w:widowControl/>
      <w:ind w:left="283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e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2">
    <w:name w:val="Body Text Indent 2"/>
    <w:basedOn w:val="a"/>
    <w:link w:val="20"/>
    <w:semiHidden/>
    <w:unhideWhenUsed/>
    <w:qFormat/>
    <w:pPr>
      <w:widowControl/>
      <w:ind w:firstLine="540"/>
      <w:jc w:val="both"/>
    </w:pPr>
    <w:rPr>
      <w:rFonts w:ascii="Times New Roman" w:eastAsia="Times New Roman" w:hAnsi="Times New Roman" w:cs="Times New Roman"/>
      <w:color w:val="auto"/>
      <w:sz w:val="20"/>
    </w:rPr>
  </w:style>
  <w:style w:type="paragraph" w:styleId="21">
    <w:name w:val="List Continue 2"/>
    <w:basedOn w:val="a"/>
    <w:semiHidden/>
    <w:unhideWhenUsed/>
    <w:qFormat/>
    <w:pPr>
      <w:widowControl/>
      <w:spacing w:after="120"/>
      <w:ind w:left="566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2">
    <w:name w:val="List 2"/>
    <w:basedOn w:val="a"/>
    <w:semiHidden/>
    <w:unhideWhenUsed/>
    <w:qFormat/>
    <w:pPr>
      <w:widowControl/>
      <w:ind w:left="566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23">
    <w:name w:val="Основной текст (2)_"/>
    <w:basedOn w:val="a0"/>
    <w:link w:val="24"/>
    <w:qFormat/>
    <w:locked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f1">
    <w:name w:val="Основной текст_"/>
    <w:basedOn w:val="a0"/>
    <w:link w:val="12"/>
    <w:qFormat/>
    <w:locked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1"/>
    <w:qFormat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11">
    <w:name w:val="Текст Знак1"/>
    <w:link w:val="a6"/>
    <w:qFormat/>
    <w:locked/>
    <w:rPr>
      <w:rFonts w:ascii="Courier New" w:hAnsi="Courier New" w:cs="Courier New"/>
    </w:rPr>
  </w:style>
  <w:style w:type="character" w:customStyle="1" w:styleId="af2">
    <w:name w:val="Текст Знак"/>
    <w:basedOn w:val="a0"/>
    <w:uiPriority w:val="99"/>
    <w:semiHidden/>
    <w:qFormat/>
    <w:rPr>
      <w:rFonts w:ascii="Consolas" w:eastAsia="Courier New" w:hAnsi="Consolas" w:cs="Consolas"/>
      <w:color w:val="000000"/>
      <w:sz w:val="21"/>
      <w:szCs w:val="21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ac">
    <w:name w:val="Заголовок Знак"/>
    <w:basedOn w:val="a0"/>
    <w:link w:val="ab"/>
    <w:qFormat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qFormat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Style3">
    <w:name w:val="Style3"/>
    <w:basedOn w:val="a"/>
    <w:uiPriority w:val="99"/>
    <w:qFormat/>
    <w:pPr>
      <w:autoSpaceDE w:val="0"/>
      <w:autoSpaceDN w:val="0"/>
      <w:adjustRightInd w:val="0"/>
      <w:spacing w:line="322" w:lineRule="exact"/>
      <w:ind w:firstLine="71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20">
    <w:name w:val="Font Style20"/>
    <w:uiPriority w:val="99"/>
    <w:qFormat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9662" TargetMode="External"/><Relationship Id="rId13" Type="http://schemas.openxmlformats.org/officeDocument/2006/relationships/hyperlink" Target="https://login.consultant.ru/link/?req=doc&amp;base=RLAW053&amp;n=151641" TargetMode="External"/><Relationship Id="rId18" Type="http://schemas.openxmlformats.org/officeDocument/2006/relationships/hyperlink" Target="https://login.consultant.ru/link/?req=doc&amp;base=LAW&amp;n=461843" TargetMode="External"/><Relationship Id="rId26" Type="http://schemas.openxmlformats.org/officeDocument/2006/relationships/hyperlink" Target="https://ru.wikipedia.org/wiki/%D0%AE%D0%BA%D0%B0%D0%BC%D0%B5%D0%BD%D1%81%D0%BA%D0%B8%D0%B9_%D1%80%D0%B0%D0%B9%D0%BE%D0%BD" TargetMode="External"/><Relationship Id="rId39" Type="http://schemas.openxmlformats.org/officeDocument/2006/relationships/hyperlink" Target="https://login.consultant.ru/link/?req=doc&amp;base=LAW&amp;n=47283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53&amp;n=156823&amp;dst=100012" TargetMode="External"/><Relationship Id="rId34" Type="http://schemas.openxmlformats.org/officeDocument/2006/relationships/hyperlink" Target="https://ru.wikipedia.org/wiki/%D0%A1%D0%B5%D0%BF%D1%8B%D1%87_(%D0%BF%D1%80%D0%B8%D1%82%D0%BE%D0%BA_%D0%A7%D0%B5%D0%BF%D1%86%D1%8B)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53&amp;n=151641" TargetMode="External"/><Relationship Id="rId12" Type="http://schemas.openxmlformats.org/officeDocument/2006/relationships/hyperlink" Target="https://login.consultant.ru/link/?req=doc&amp;base=LAW&amp;n=472832" TargetMode="External"/><Relationship Id="rId17" Type="http://schemas.openxmlformats.org/officeDocument/2006/relationships/hyperlink" Target="https://login.consultant.ru/link/?req=doc&amp;base=LAW&amp;n=465775" TargetMode="External"/><Relationship Id="rId25" Type="http://schemas.openxmlformats.org/officeDocument/2006/relationships/hyperlink" Target="https://ru.wikipedia.org/wiki/%D0%9A%D0%B8%D1%80%D0%BE%D0%B2%D1%81%D0%BA%D0%B0%D1%8F_%D0%BE%D0%B1%D0%BB%D0%B0%D1%81%D1%82%D1%8C" TargetMode="External"/><Relationship Id="rId33" Type="http://schemas.openxmlformats.org/officeDocument/2006/relationships/hyperlink" Target="https://ru.wikipedia.org/wiki/%D0%A3%D0%B1%D1%8B%D1%82%D1%8C" TargetMode="External"/><Relationship Id="rId38" Type="http://schemas.openxmlformats.org/officeDocument/2006/relationships/hyperlink" Target="https://ru.wikipedia.org/wiki/%D0%92%D1%8F%D1%82%D0%BA%D0%B0_(%D1%80%D0%B5%D0%BA%D0%B0)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65775" TargetMode="External"/><Relationship Id="rId20" Type="http://schemas.openxmlformats.org/officeDocument/2006/relationships/hyperlink" Target="https://login.consultant.ru/link/?req=doc&amp;base=LAW&amp;n=325763&amp;dst=2" TargetMode="External"/><Relationship Id="rId29" Type="http://schemas.openxmlformats.org/officeDocument/2006/relationships/hyperlink" Target="https://ru.wikipedia.org/wiki/%D0%98%D0%B3%D1%80%D0%B8%D0%BD%D1%81%D0%BA%D0%B8%D0%B9_%D1%80%D0%B0%D0%B9%D0%BE%D0%BD" TargetMode="External"/><Relationship Id="rId41" Type="http://schemas.openxmlformats.org/officeDocument/2006/relationships/hyperlink" Target="https://login.consultant.ru/link/?req=doc&amp;base=LAW&amp;n=46418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4185" TargetMode="External"/><Relationship Id="rId11" Type="http://schemas.openxmlformats.org/officeDocument/2006/relationships/hyperlink" Target="https://login.consultant.ru/link/?req=doc&amp;base=LAW&amp;n=464185" TargetMode="External"/><Relationship Id="rId24" Type="http://schemas.openxmlformats.org/officeDocument/2006/relationships/hyperlink" Target="https://login.consultant.ru/link/?req=doc&amp;base=STR&amp;n=28513" TargetMode="External"/><Relationship Id="rId32" Type="http://schemas.openxmlformats.org/officeDocument/2006/relationships/hyperlink" Target="https://ru.wikipedia.org/wiki/%D0%9A%D0%B8%D0%BB%D1%8C%D0%BC%D0%B5%D0%B7%D1%81%D0%BA%D0%B0%D1%8F_%D0%BD%D0%B8%D0%B7%D0%BC%D0%B5%D0%BD%D0%BD%D0%BE%D1%81%D1%82%D1%8C" TargetMode="External"/><Relationship Id="rId37" Type="http://schemas.openxmlformats.org/officeDocument/2006/relationships/hyperlink" Target="https://ru.wikipedia.org/wiki/%D0%9A%D0%B8%D0%BB%D1%8C%D0%BC%D0%B5%D0%B7%D1%8C_(%D1%80%D0%B5%D0%BA%D0%B0)" TargetMode="External"/><Relationship Id="rId40" Type="http://schemas.openxmlformats.org/officeDocument/2006/relationships/hyperlink" Target="https://login.consultant.ru/link/?req=doc&amp;base=RLAW053&amp;n=151411&amp;dst=10001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LAW&amp;n=13040&amp;dst=100012" TargetMode="External"/><Relationship Id="rId23" Type="http://schemas.openxmlformats.org/officeDocument/2006/relationships/hyperlink" Target="https://login.consultant.ru/link/?req=doc&amp;base=STR&amp;n=28513" TargetMode="External"/><Relationship Id="rId28" Type="http://schemas.openxmlformats.org/officeDocument/2006/relationships/hyperlink" Target="https://ru.wikipedia.org/wiki/%D0%91%D0%B0%D0%BB%D0%B5%D0%B7%D0%B8%D0%BD%D1%81%D0%BA%D0%B8%D0%B9_%D1%80%D0%B0%D0%B9%D0%BE%D0%BD" TargetMode="External"/><Relationship Id="rId36" Type="http://schemas.openxmlformats.org/officeDocument/2006/relationships/hyperlink" Target="https://ru.wikipedia.org/wiki/%D0%A1%D0%B0%D0%BB%D1%8F_(%D1%80%D0%B5%D0%BA%D0%B0)" TargetMode="External"/><Relationship Id="rId10" Type="http://schemas.openxmlformats.org/officeDocument/2006/relationships/hyperlink" Target="https://login.consultant.ru/link/?req=doc&amp;base=RLAW053&amp;n=156823&amp;dst=100012" TargetMode="External"/><Relationship Id="rId19" Type="http://schemas.openxmlformats.org/officeDocument/2006/relationships/hyperlink" Target="https://login.consultant.ru/link/?req=doc&amp;base=LAW&amp;n=111609" TargetMode="External"/><Relationship Id="rId31" Type="http://schemas.openxmlformats.org/officeDocument/2006/relationships/hyperlink" Target="https://ru.wikipedia.org/wiki/%D0%9A%D1%80%D0%B0%D1%81%D0%BD%D0%BE%D0%B3%D0%BE%D1%80%D1%81%D0%BA%D0%B0%D1%8F_%D0%B2%D0%BE%D0%B7%D0%B2%D1%8B%D1%88%D0%B5%D0%BD%D0%BD%D0%BE%D1%81%D1%82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185&amp;dst=100068" TargetMode="External"/><Relationship Id="rId14" Type="http://schemas.openxmlformats.org/officeDocument/2006/relationships/hyperlink" Target="https://login.consultant.ru/link/?req=doc&amp;base=LAW&amp;n=464879" TargetMode="External"/><Relationship Id="rId22" Type="http://schemas.openxmlformats.org/officeDocument/2006/relationships/hyperlink" Target="https://login.consultant.ru/link/?req=doc&amp;base=RLAW053&amp;n=98766" TargetMode="External"/><Relationship Id="rId27" Type="http://schemas.openxmlformats.org/officeDocument/2006/relationships/hyperlink" Target="https://ru.wikipedia.org/wiki/%D0%93%D0%BB%D0%B0%D0%B7%D0%BE%D0%B2%D1%81%D0%BA%D0%B8%D0%B9_%D1%80%D0%B0%D0%B9%D0%BE%D0%BD" TargetMode="External"/><Relationship Id="rId30" Type="http://schemas.openxmlformats.org/officeDocument/2006/relationships/hyperlink" Target="https://ru.wikipedia.org/wiki/%D0%A1%D0%B5%D0%BB%D1%82%D0%B8%D0%BD%D1%81%D0%BA%D0%B8%D0%B9_%D1%80%D0%B0%D0%B9%D0%BE%D0%BD" TargetMode="External"/><Relationship Id="rId35" Type="http://schemas.openxmlformats.org/officeDocument/2006/relationships/hyperlink" Target="https://ru.wikipedia.org/wiki/%D0%9B%D0%B5%D0%BA%D0%BC%D0%B0_(%D0%BF%D1%80%D0%B8%D1%82%D0%BE%D0%BA_%D0%A7%D0%B5%D0%BF%D1%86%D1%8B)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25</Pages>
  <Words>9590</Words>
  <Characters>54669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Иванова Наталья Александровна</cp:lastModifiedBy>
  <cp:revision>28</cp:revision>
  <cp:lastPrinted>2024-12-19T08:51:00Z</cp:lastPrinted>
  <dcterms:created xsi:type="dcterms:W3CDTF">2022-03-10T10:38:00Z</dcterms:created>
  <dcterms:modified xsi:type="dcterms:W3CDTF">2024-12-19T08:51:00Z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B47AFAE89ED64D95BA7FED8A7C6DA480_13</vt:lpwstr>
  </property>
</Properties>
</file>